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DF926">
      <w:pPr>
        <w:widowControl/>
        <w:adjustRightInd w:val="0"/>
        <w:snapToGrid w:val="0"/>
        <w:spacing w:before="312" w:beforeLines="100"/>
        <w:jc w:val="left"/>
        <w:rPr>
          <w:rFonts w:eastAsiaTheme="majorEastAsia"/>
          <w:b/>
          <w:sz w:val="44"/>
          <w:szCs w:val="44"/>
        </w:rPr>
      </w:pPr>
    </w:p>
    <w:p w14:paraId="6CBBF780">
      <w:pPr>
        <w:widowControl/>
        <w:adjustRightInd w:val="0"/>
        <w:snapToGrid w:val="0"/>
        <w:spacing w:before="312" w:beforeLines="100"/>
        <w:jc w:val="left"/>
        <w:rPr>
          <w:rFonts w:eastAsiaTheme="majorEastAsia"/>
          <w:b/>
          <w:sz w:val="44"/>
          <w:szCs w:val="44"/>
        </w:rPr>
      </w:pPr>
    </w:p>
    <w:p w14:paraId="0212DB65">
      <w:pPr>
        <w:widowControl/>
        <w:adjustRightInd w:val="0"/>
        <w:snapToGrid w:val="0"/>
        <w:spacing w:before="312" w:beforeLines="100"/>
        <w:jc w:val="left"/>
        <w:rPr>
          <w:rFonts w:eastAsiaTheme="majorEastAsia"/>
          <w:b/>
          <w:sz w:val="44"/>
          <w:szCs w:val="44"/>
        </w:rPr>
      </w:pPr>
      <w:r>
        <mc:AlternateContent>
          <mc:Choice Requires="wps">
            <w:drawing>
              <wp:anchor distT="0" distB="0" distL="114300" distR="114300" simplePos="0" relativeHeight="251660288" behindDoc="0" locked="0" layoutInCell="1" allowOverlap="1">
                <wp:simplePos x="0" y="0"/>
                <wp:positionH relativeFrom="page">
                  <wp:posOffset>22860</wp:posOffset>
                </wp:positionH>
                <wp:positionV relativeFrom="paragraph">
                  <wp:posOffset>591185</wp:posOffset>
                </wp:positionV>
                <wp:extent cx="7534275" cy="66675"/>
                <wp:effectExtent l="0" t="0" r="9525" b="9525"/>
                <wp:wrapNone/>
                <wp:docPr id="8" name="矩形 8"/>
                <wp:cNvGraphicFramePr/>
                <a:graphic xmlns:a="http://schemas.openxmlformats.org/drawingml/2006/main">
                  <a:graphicData uri="http://schemas.microsoft.com/office/word/2010/wordprocessingShape">
                    <wps:wsp>
                      <wps:cNvSpPr/>
                      <wps:spPr>
                        <a:xfrm>
                          <a:off x="0" y="0"/>
                          <a:ext cx="7534275" cy="66675"/>
                        </a:xfrm>
                        <a:prstGeom prst="rect">
                          <a:avLst/>
                        </a:prstGeom>
                        <a:solidFill>
                          <a:srgbClr val="59B1B3"/>
                        </a:solidFill>
                        <a:ln w="25400" cap="flat" cmpd="sng" algn="ctr">
                          <a:noFill/>
                          <a:prstDash val="solid"/>
                        </a:ln>
                        <a:effectLst/>
                      </wps:spPr>
                      <wps:txbx>
                        <w:txbxContent>
                          <w:p w14:paraId="53183F88">
                            <w:pPr>
                              <w:spacing w:before="190"/>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pt;margin-top:46.55pt;height:5.25pt;width:593.25pt;mso-position-horizontal-relative:page;z-index:251660288;v-text-anchor:middle;mso-width-relative:page;mso-height-relative:page;" fillcolor="#59B1B3" filled="t" stroked="f" coordsize="21600,21600" o:gfxdata="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CjFvVi1wAAAAkBAAAPAAAAAAAAAAEAIAAAACIAAABkcnMvZG93bnJldi54&#10;bWxQSwECFAAUAAAACACHTuJAy4XnDG0CAADMBAAADgAAAAAAAAABACAAAAAmAQAAZHJzL2Uyb0Rv&#10;Yy54bWxQSwUGAAAAAAYABgBZAQAABQYAAAAA&#10;">
                <v:fill on="t" focussize="0,0"/>
                <v:stroke on="f" weight="2pt"/>
                <v:imagedata o:title=""/>
                <o:lock v:ext="edit" aspectratio="f"/>
                <v:textbox>
                  <w:txbxContent>
                    <w:p w14:paraId="53183F88">
                      <w:pPr>
                        <w:spacing w:before="190"/>
                      </w:pPr>
                    </w:p>
                  </w:txbxContent>
                </v:textbox>
              </v:rect>
            </w:pict>
          </mc:Fallback>
        </mc:AlternateContent>
      </w:r>
      <w:r>
        <mc:AlternateContent>
          <mc:Choice Requires="wps">
            <w:drawing>
              <wp:anchor distT="0" distB="0" distL="114300" distR="114300" simplePos="0" relativeHeight="251661312" behindDoc="0" locked="0" layoutInCell="1" allowOverlap="1">
                <wp:simplePos x="0" y="0"/>
                <wp:positionH relativeFrom="page">
                  <wp:align>right</wp:align>
                </wp:positionH>
                <wp:positionV relativeFrom="paragraph">
                  <wp:posOffset>2515870</wp:posOffset>
                </wp:positionV>
                <wp:extent cx="7553325" cy="66675"/>
                <wp:effectExtent l="0" t="0" r="9525" b="9525"/>
                <wp:wrapNone/>
                <wp:docPr id="17" name="矩形 17"/>
                <wp:cNvGraphicFramePr/>
                <a:graphic xmlns:a="http://schemas.openxmlformats.org/drawingml/2006/main">
                  <a:graphicData uri="http://schemas.microsoft.com/office/word/2010/wordprocessingShape">
                    <wps:wsp>
                      <wps:cNvSpPr/>
                      <wps:spPr>
                        <a:xfrm>
                          <a:off x="0" y="0"/>
                          <a:ext cx="7553325" cy="66675"/>
                        </a:xfrm>
                        <a:prstGeom prst="rect">
                          <a:avLst/>
                        </a:prstGeom>
                        <a:solidFill>
                          <a:srgbClr val="59B1B3"/>
                        </a:solidFill>
                        <a:ln w="25400" cap="flat" cmpd="sng" algn="ctr">
                          <a:noFill/>
                          <a:prstDash val="solid"/>
                        </a:ln>
                        <a:effectLst/>
                      </wps:spPr>
                      <wps:txbx>
                        <w:txbxContent>
                          <w:p w14:paraId="09D07010">
                            <w:pPr>
                              <w:spacing w:before="190"/>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top:198.1pt;height:5.25pt;width:594.75pt;mso-position-horizontal:right;mso-position-horizontal-relative:page;z-index:251661312;v-text-anchor:middle;mso-width-relative:page;mso-height-relative:page;" fillcolor="#59B1B3" filled="t" stroked="f" coordsize="21600,21600" o:gfxdata="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MhmwR2QAAAAkBAAAPAAAAAAAAAAEAIAAAACIAAABkcnMvZG93bnJl&#10;di54bWxQSwECFAAUAAAACACHTuJAPvA2aG4CAADOBAAADgAAAAAAAAABACAAAAAoAQAAZHJzL2Uy&#10;b0RvYy54bWxQSwUGAAAAAAYABgBZAQAACAYAAAAA&#10;">
                <v:fill on="t" focussize="0,0"/>
                <v:stroke on="f" weight="2pt"/>
                <v:imagedata o:title=""/>
                <o:lock v:ext="edit" aspectratio="f"/>
                <v:textbox>
                  <w:txbxContent>
                    <w:p w14:paraId="09D07010">
                      <w:pPr>
                        <w:spacing w:before="190"/>
                      </w:pP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page">
                  <wp:posOffset>-276860</wp:posOffset>
                </wp:positionH>
                <wp:positionV relativeFrom="paragraph">
                  <wp:posOffset>591185</wp:posOffset>
                </wp:positionV>
                <wp:extent cx="7534275" cy="66675"/>
                <wp:effectExtent l="0" t="0" r="9525" b="9525"/>
                <wp:wrapNone/>
                <wp:docPr id="4" name="矩形 4"/>
                <wp:cNvGraphicFramePr/>
                <a:graphic xmlns:a="http://schemas.openxmlformats.org/drawingml/2006/main">
                  <a:graphicData uri="http://schemas.microsoft.com/office/word/2010/wordprocessingShape">
                    <wps:wsp>
                      <wps:cNvSpPr/>
                      <wps:spPr>
                        <a:xfrm>
                          <a:off x="0" y="0"/>
                          <a:ext cx="7534275" cy="66675"/>
                        </a:xfrm>
                        <a:prstGeom prst="rect">
                          <a:avLst/>
                        </a:prstGeom>
                        <a:solidFill>
                          <a:srgbClr val="59B1B3"/>
                        </a:solidFill>
                        <a:ln w="25400" cap="flat" cmpd="sng" algn="ctr">
                          <a:noFill/>
                          <a:prstDash val="solid"/>
                        </a:ln>
                        <a:effectLst/>
                      </wps:spPr>
                      <wps:txbx>
                        <w:txbxContent>
                          <w:p w14:paraId="55E3DF12">
                            <w:pPr>
                              <w:spacing w:before="190"/>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8pt;margin-top:46.55pt;height:5.25pt;width:593.25pt;mso-position-horizontal-relative:page;z-index:251662336;v-text-anchor:middle;mso-width-relative:page;mso-height-relative:page;" fillcolor="#59B1B3" filled="t" stroked="f" coordsize="21600,21600" o:gfxdata="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2ca/12gAAAAsBAAAPAAAAAAAAAAEAIAAAACIAAABkcnMvZG93bnJl&#10;di54bWxQSwECFAAUAAAACACHTuJAnHPCxG0CAADMBAAADgAAAAAAAAABACAAAAApAQAAZHJzL2Uy&#10;b0RvYy54bWxQSwUGAAAAAAYABgBZAQAACAYAAAAA&#10;">
                <v:fill on="t" focussize="0,0"/>
                <v:stroke on="f" weight="2pt"/>
                <v:imagedata o:title=""/>
                <o:lock v:ext="edit" aspectratio="f"/>
                <v:textbox>
                  <w:txbxContent>
                    <w:p w14:paraId="55E3DF12">
                      <w:pPr>
                        <w:spacing w:before="190"/>
                      </w:pPr>
                    </w:p>
                  </w:txbxContent>
                </v:textbox>
              </v:rect>
            </w:pict>
          </mc:Fallback>
        </mc:AlternateContent>
      </w:r>
    </w:p>
    <w:p w14:paraId="287768C4">
      <w:pPr>
        <w:widowControl/>
        <w:adjustRightInd w:val="0"/>
        <w:snapToGrid w:val="0"/>
        <w:spacing w:before="312" w:beforeLines="100"/>
        <w:jc w:val="left"/>
        <w:rPr>
          <w:rFonts w:eastAsiaTheme="majorEastAsia"/>
          <w:b/>
          <w:sz w:val="44"/>
          <w:szCs w:val="44"/>
        </w:rPr>
      </w:pPr>
      <w:r>
        <mc:AlternateContent>
          <mc:Choice Requires="wps">
            <w:drawing>
              <wp:anchor distT="0" distB="0" distL="114300" distR="114300" simplePos="0" relativeHeight="251659264" behindDoc="0" locked="0" layoutInCell="1" allowOverlap="1">
                <wp:simplePos x="0" y="0"/>
                <wp:positionH relativeFrom="margin">
                  <wp:posOffset>-1164590</wp:posOffset>
                </wp:positionH>
                <wp:positionV relativeFrom="paragraph">
                  <wp:posOffset>160020</wp:posOffset>
                </wp:positionV>
                <wp:extent cx="7620000" cy="1962150"/>
                <wp:effectExtent l="0" t="0" r="0" b="0"/>
                <wp:wrapNone/>
                <wp:docPr id="5" name="矩形 5"/>
                <wp:cNvGraphicFramePr/>
                <a:graphic xmlns:a="http://schemas.openxmlformats.org/drawingml/2006/main">
                  <a:graphicData uri="http://schemas.microsoft.com/office/word/2010/wordprocessingShape">
                    <wps:wsp>
                      <wps:cNvSpPr/>
                      <wps:spPr>
                        <a:xfrm>
                          <a:off x="0" y="0"/>
                          <a:ext cx="7620000" cy="1962150"/>
                        </a:xfrm>
                        <a:prstGeom prst="rect">
                          <a:avLst/>
                        </a:prstGeom>
                        <a:solidFill>
                          <a:srgbClr val="59B1B3"/>
                        </a:solidFill>
                        <a:ln w="25400" cap="flat" cmpd="sng" algn="ctr">
                          <a:noFill/>
                          <a:prstDash val="solid"/>
                        </a:ln>
                        <a:effectLst/>
                      </wps:spPr>
                      <wps:txbx>
                        <w:txbxContent>
                          <w:p w14:paraId="4AD710C1">
                            <w:pPr>
                              <w:snapToGrid w:val="0"/>
                              <w:spacing w:before="156" w:beforeLines="50"/>
                              <w:jc w:val="center"/>
                              <w:rPr>
                                <w:rFonts w:hint="eastAsia" w:ascii="楷体" w:hAnsi="楷体" w:eastAsia="楷体"/>
                                <w:b/>
                                <w:color w:val="FFFFFF" w:themeColor="background1"/>
                                <w:kern w:val="28"/>
                                <w:sz w:val="56"/>
                                <w:szCs w:val="56"/>
                                <w:lang w:bidi="zh-CN"/>
                                <w14:textFill>
                                  <w14:solidFill>
                                    <w14:schemeClr w14:val="bg1"/>
                                  </w14:solidFill>
                                </w14:textFill>
                              </w:rPr>
                            </w:pPr>
                            <w:r>
                              <w:rPr>
                                <w:rFonts w:hint="eastAsia" w:ascii="楷体" w:hAnsi="楷体" w:eastAsia="楷体"/>
                                <w:b/>
                                <w:color w:val="FFFFFF" w:themeColor="background1"/>
                                <w:kern w:val="28"/>
                                <w:sz w:val="56"/>
                                <w:szCs w:val="56"/>
                                <w:lang w:bidi="zh-CN"/>
                                <w14:textFill>
                                  <w14:solidFill>
                                    <w14:schemeClr w14:val="bg1"/>
                                  </w14:solidFill>
                                </w14:textFill>
                              </w:rPr>
                              <w:t>2025年度上海张江国家自主创新示范区</w:t>
                            </w:r>
                          </w:p>
                          <w:p w14:paraId="37AAA371">
                            <w:pPr>
                              <w:snapToGrid w:val="0"/>
                              <w:spacing w:before="156" w:beforeLines="50"/>
                              <w:jc w:val="center"/>
                              <w:rPr>
                                <w:rFonts w:hint="eastAsia" w:ascii="楷体" w:hAnsi="楷体" w:eastAsia="楷体"/>
                                <w:b/>
                                <w:color w:val="FFFFFF" w:themeColor="background1"/>
                                <w:kern w:val="28"/>
                                <w:sz w:val="56"/>
                                <w:szCs w:val="56"/>
                                <w:lang w:bidi="zh-CN"/>
                                <w14:textFill>
                                  <w14:solidFill>
                                    <w14:schemeClr w14:val="bg1"/>
                                  </w14:solidFill>
                                </w14:textFill>
                              </w:rPr>
                            </w:pPr>
                            <w:r>
                              <w:rPr>
                                <w:rFonts w:hint="eastAsia" w:ascii="楷体" w:hAnsi="楷体" w:eastAsia="楷体"/>
                                <w:b/>
                                <w:color w:val="FFFFFF" w:themeColor="background1"/>
                                <w:kern w:val="28"/>
                                <w:sz w:val="56"/>
                                <w:szCs w:val="56"/>
                                <w:lang w:bidi="zh-CN"/>
                                <w14:textFill>
                                  <w14:solidFill>
                                    <w14:schemeClr w14:val="bg1"/>
                                  </w14:solidFill>
                                </w14:textFill>
                              </w:rPr>
                              <w:t>专项发展资金重点项目申报指南解读</w:t>
                            </w:r>
                          </w:p>
                          <w:p w14:paraId="284CEC09">
                            <w:pPr>
                              <w:snapToGrid w:val="0"/>
                              <w:spacing w:before="156" w:beforeLines="50"/>
                              <w:jc w:val="center"/>
                              <w:rPr>
                                <w:rFonts w:hint="eastAsia" w:ascii="楷体" w:hAnsi="楷体" w:eastAsia="楷体"/>
                                <w:b/>
                                <w:color w:val="FFFFFF" w:themeColor="background1"/>
                                <w:kern w:val="28"/>
                                <w:sz w:val="56"/>
                                <w:szCs w:val="56"/>
                                <w:lang w:bidi="zh-CN"/>
                                <w14:textFill>
                                  <w14:solidFill>
                                    <w14:schemeClr w14:val="bg1"/>
                                  </w14:solidFill>
                                </w14:textFill>
                              </w:rPr>
                            </w:pPr>
                            <w:r>
                              <w:rPr>
                                <w:rFonts w:hint="eastAsia" w:ascii="楷体" w:hAnsi="楷体" w:eastAsia="楷体"/>
                                <w:b/>
                                <w:color w:val="FFFFFF" w:themeColor="background1"/>
                                <w:kern w:val="28"/>
                                <w:sz w:val="56"/>
                                <w:szCs w:val="56"/>
                                <w:lang w:bidi="zh-CN"/>
                                <w14:textFill>
                                  <w14:solidFill>
                                    <w14:schemeClr w14:val="bg1"/>
                                  </w14:solidFill>
                                </w14:textFill>
                              </w:rPr>
                              <w:t>（第三批）</w:t>
                            </w:r>
                          </w:p>
                          <w:p w14:paraId="2A07E1C6">
                            <w:pPr>
                              <w:spacing w:before="190"/>
                            </w:pPr>
                          </w:p>
                          <w:p w14:paraId="0B6D2DDE">
                            <w:pPr>
                              <w:spacing w:before="190"/>
                            </w:pPr>
                          </w:p>
                          <w:p w14:paraId="76855551">
                            <w:pPr>
                              <w:spacing w:before="190"/>
                            </w:pPr>
                          </w:p>
                          <w:p w14:paraId="7427030D">
                            <w:pPr>
                              <w:spacing w:before="190"/>
                            </w:pPr>
                          </w:p>
                          <w:p w14:paraId="17AD0907">
                            <w:pPr>
                              <w:spacing w:before="190"/>
                            </w:pPr>
                          </w:p>
                          <w:p w14:paraId="64401C65">
                            <w:pPr>
                              <w:spacing w:before="190"/>
                            </w:pPr>
                          </w:p>
                          <w:p w14:paraId="0A8E3A24">
                            <w:pPr>
                              <w:spacing w:before="190"/>
                            </w:pPr>
                          </w:p>
                          <w:p w14:paraId="0D593CB1">
                            <w:pPr>
                              <w:spacing w:before="190"/>
                            </w:pPr>
                          </w:p>
                          <w:p w14:paraId="3379FBF6">
                            <w:pPr>
                              <w:spacing w:before="190"/>
                            </w:pPr>
                          </w:p>
                          <w:p w14:paraId="69C3E5E7">
                            <w:pPr>
                              <w:spacing w:before="190"/>
                            </w:pPr>
                          </w:p>
                          <w:p w14:paraId="1B57D172">
                            <w:pPr>
                              <w:spacing w:before="190"/>
                            </w:pPr>
                          </w:p>
                          <w:p w14:paraId="130AC5ED">
                            <w:pPr>
                              <w:spacing w:before="190"/>
                            </w:pPr>
                          </w:p>
                          <w:p w14:paraId="1F57E1D4">
                            <w:pPr>
                              <w:spacing w:before="190"/>
                            </w:pPr>
                          </w:p>
                          <w:p w14:paraId="097F357F">
                            <w:pPr>
                              <w:spacing w:before="190"/>
                            </w:pPr>
                          </w:p>
                          <w:p w14:paraId="7033F471">
                            <w:pPr>
                              <w:spacing w:before="190"/>
                            </w:pPr>
                          </w:p>
                          <w:p w14:paraId="143592CE">
                            <w:pPr>
                              <w:spacing w:before="190"/>
                            </w:pPr>
                          </w:p>
                          <w:p w14:paraId="664DB722">
                            <w:pPr>
                              <w:spacing w:before="190"/>
                            </w:pPr>
                          </w:p>
                          <w:p w14:paraId="4E778C6F">
                            <w:pPr>
                              <w:spacing w:before="190"/>
                            </w:pPr>
                          </w:p>
                          <w:p w14:paraId="5B536C8B">
                            <w:pPr>
                              <w:spacing w:before="190"/>
                            </w:pPr>
                          </w:p>
                          <w:p w14:paraId="2A77F1C1">
                            <w:pPr>
                              <w:spacing w:before="190"/>
                            </w:pPr>
                          </w:p>
                          <w:p w14:paraId="56824A1C">
                            <w:pPr>
                              <w:spacing w:before="190"/>
                            </w:pPr>
                          </w:p>
                          <w:p w14:paraId="5F61FB92">
                            <w:pPr>
                              <w:spacing w:before="190"/>
                            </w:pPr>
                          </w:p>
                          <w:p w14:paraId="4CFD035A">
                            <w:pPr>
                              <w:spacing w:before="190"/>
                            </w:pPr>
                          </w:p>
                          <w:p w14:paraId="21768271">
                            <w:pPr>
                              <w:spacing w:before="190"/>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1.7pt;margin-top:12.6pt;height:154.5pt;width:600pt;mso-position-horizontal-relative:margin;z-index:251659264;v-text-anchor:middle;mso-width-relative:page;mso-height-relative:page;" fillcolor="#59B1B3" filled="t" stroked="f" coordsize="21600,21600" o:gfxdata="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R7fQvbAAAADAEAAA8AAAAAAAAAAQAgAAAAIgAAAGRycy9kb3du&#10;cmV2LnhtbFBLAQIUABQAAAAIAIdO4kAr02iNbgIAAM4EAAAOAAAAAAAAAAEAIAAAACoBAABkcnMv&#10;ZTJvRG9jLnhtbFBLBQYAAAAABgAGAFkBAAAKBgAAAAA=&#10;">
                <v:fill on="t" focussize="0,0"/>
                <v:stroke on="f" weight="2pt"/>
                <v:imagedata o:title=""/>
                <o:lock v:ext="edit" aspectratio="f"/>
                <v:textbox>
                  <w:txbxContent>
                    <w:p w14:paraId="4AD710C1">
                      <w:pPr>
                        <w:snapToGrid w:val="0"/>
                        <w:spacing w:before="156" w:beforeLines="50"/>
                        <w:jc w:val="center"/>
                        <w:rPr>
                          <w:rFonts w:hint="eastAsia" w:ascii="楷体" w:hAnsi="楷体" w:eastAsia="楷体"/>
                          <w:b/>
                          <w:color w:val="FFFFFF" w:themeColor="background1"/>
                          <w:kern w:val="28"/>
                          <w:sz w:val="56"/>
                          <w:szCs w:val="56"/>
                          <w:lang w:bidi="zh-CN"/>
                          <w14:textFill>
                            <w14:solidFill>
                              <w14:schemeClr w14:val="bg1"/>
                            </w14:solidFill>
                          </w14:textFill>
                        </w:rPr>
                      </w:pPr>
                      <w:r>
                        <w:rPr>
                          <w:rFonts w:hint="eastAsia" w:ascii="楷体" w:hAnsi="楷体" w:eastAsia="楷体"/>
                          <w:b/>
                          <w:color w:val="FFFFFF" w:themeColor="background1"/>
                          <w:kern w:val="28"/>
                          <w:sz w:val="56"/>
                          <w:szCs w:val="56"/>
                          <w:lang w:bidi="zh-CN"/>
                          <w14:textFill>
                            <w14:solidFill>
                              <w14:schemeClr w14:val="bg1"/>
                            </w14:solidFill>
                          </w14:textFill>
                        </w:rPr>
                        <w:t>2025年度上海张江国家自主创新示范区</w:t>
                      </w:r>
                    </w:p>
                    <w:p w14:paraId="37AAA371">
                      <w:pPr>
                        <w:snapToGrid w:val="0"/>
                        <w:spacing w:before="156" w:beforeLines="50"/>
                        <w:jc w:val="center"/>
                        <w:rPr>
                          <w:rFonts w:hint="eastAsia" w:ascii="楷体" w:hAnsi="楷体" w:eastAsia="楷体"/>
                          <w:b/>
                          <w:color w:val="FFFFFF" w:themeColor="background1"/>
                          <w:kern w:val="28"/>
                          <w:sz w:val="56"/>
                          <w:szCs w:val="56"/>
                          <w:lang w:bidi="zh-CN"/>
                          <w14:textFill>
                            <w14:solidFill>
                              <w14:schemeClr w14:val="bg1"/>
                            </w14:solidFill>
                          </w14:textFill>
                        </w:rPr>
                      </w:pPr>
                      <w:r>
                        <w:rPr>
                          <w:rFonts w:hint="eastAsia" w:ascii="楷体" w:hAnsi="楷体" w:eastAsia="楷体"/>
                          <w:b/>
                          <w:color w:val="FFFFFF" w:themeColor="background1"/>
                          <w:kern w:val="28"/>
                          <w:sz w:val="56"/>
                          <w:szCs w:val="56"/>
                          <w:lang w:bidi="zh-CN"/>
                          <w14:textFill>
                            <w14:solidFill>
                              <w14:schemeClr w14:val="bg1"/>
                            </w14:solidFill>
                          </w14:textFill>
                        </w:rPr>
                        <w:t>专项发展资金重点项目申报指南解读</w:t>
                      </w:r>
                    </w:p>
                    <w:p w14:paraId="284CEC09">
                      <w:pPr>
                        <w:snapToGrid w:val="0"/>
                        <w:spacing w:before="156" w:beforeLines="50"/>
                        <w:jc w:val="center"/>
                        <w:rPr>
                          <w:rFonts w:hint="eastAsia" w:ascii="楷体" w:hAnsi="楷体" w:eastAsia="楷体"/>
                          <w:b/>
                          <w:color w:val="FFFFFF" w:themeColor="background1"/>
                          <w:kern w:val="28"/>
                          <w:sz w:val="56"/>
                          <w:szCs w:val="56"/>
                          <w:lang w:bidi="zh-CN"/>
                          <w14:textFill>
                            <w14:solidFill>
                              <w14:schemeClr w14:val="bg1"/>
                            </w14:solidFill>
                          </w14:textFill>
                        </w:rPr>
                      </w:pPr>
                      <w:r>
                        <w:rPr>
                          <w:rFonts w:hint="eastAsia" w:ascii="楷体" w:hAnsi="楷体" w:eastAsia="楷体"/>
                          <w:b/>
                          <w:color w:val="FFFFFF" w:themeColor="background1"/>
                          <w:kern w:val="28"/>
                          <w:sz w:val="56"/>
                          <w:szCs w:val="56"/>
                          <w:lang w:bidi="zh-CN"/>
                          <w14:textFill>
                            <w14:solidFill>
                              <w14:schemeClr w14:val="bg1"/>
                            </w14:solidFill>
                          </w14:textFill>
                        </w:rPr>
                        <w:t>（第三批）</w:t>
                      </w:r>
                    </w:p>
                    <w:p w14:paraId="2A07E1C6">
                      <w:pPr>
                        <w:spacing w:before="190"/>
                      </w:pPr>
                    </w:p>
                    <w:p w14:paraId="0B6D2DDE">
                      <w:pPr>
                        <w:spacing w:before="190"/>
                      </w:pPr>
                    </w:p>
                    <w:p w14:paraId="76855551">
                      <w:pPr>
                        <w:spacing w:before="190"/>
                      </w:pPr>
                    </w:p>
                    <w:p w14:paraId="7427030D">
                      <w:pPr>
                        <w:spacing w:before="190"/>
                      </w:pPr>
                    </w:p>
                    <w:p w14:paraId="17AD0907">
                      <w:pPr>
                        <w:spacing w:before="190"/>
                      </w:pPr>
                    </w:p>
                    <w:p w14:paraId="64401C65">
                      <w:pPr>
                        <w:spacing w:before="190"/>
                      </w:pPr>
                    </w:p>
                    <w:p w14:paraId="0A8E3A24">
                      <w:pPr>
                        <w:spacing w:before="190"/>
                      </w:pPr>
                    </w:p>
                    <w:p w14:paraId="0D593CB1">
                      <w:pPr>
                        <w:spacing w:before="190"/>
                      </w:pPr>
                    </w:p>
                    <w:p w14:paraId="3379FBF6">
                      <w:pPr>
                        <w:spacing w:before="190"/>
                      </w:pPr>
                    </w:p>
                    <w:p w14:paraId="69C3E5E7">
                      <w:pPr>
                        <w:spacing w:before="190"/>
                      </w:pPr>
                    </w:p>
                    <w:p w14:paraId="1B57D172">
                      <w:pPr>
                        <w:spacing w:before="190"/>
                      </w:pPr>
                    </w:p>
                    <w:p w14:paraId="130AC5ED">
                      <w:pPr>
                        <w:spacing w:before="190"/>
                      </w:pPr>
                    </w:p>
                    <w:p w14:paraId="1F57E1D4">
                      <w:pPr>
                        <w:spacing w:before="190"/>
                      </w:pPr>
                    </w:p>
                    <w:p w14:paraId="097F357F">
                      <w:pPr>
                        <w:spacing w:before="190"/>
                      </w:pPr>
                    </w:p>
                    <w:p w14:paraId="7033F471">
                      <w:pPr>
                        <w:spacing w:before="190"/>
                      </w:pPr>
                    </w:p>
                    <w:p w14:paraId="143592CE">
                      <w:pPr>
                        <w:spacing w:before="190"/>
                      </w:pPr>
                    </w:p>
                    <w:p w14:paraId="664DB722">
                      <w:pPr>
                        <w:spacing w:before="190"/>
                      </w:pPr>
                    </w:p>
                    <w:p w14:paraId="4E778C6F">
                      <w:pPr>
                        <w:spacing w:before="190"/>
                      </w:pPr>
                    </w:p>
                    <w:p w14:paraId="5B536C8B">
                      <w:pPr>
                        <w:spacing w:before="190"/>
                      </w:pPr>
                    </w:p>
                    <w:p w14:paraId="2A77F1C1">
                      <w:pPr>
                        <w:spacing w:before="190"/>
                      </w:pPr>
                    </w:p>
                    <w:p w14:paraId="56824A1C">
                      <w:pPr>
                        <w:spacing w:before="190"/>
                      </w:pPr>
                    </w:p>
                    <w:p w14:paraId="5F61FB92">
                      <w:pPr>
                        <w:spacing w:before="190"/>
                      </w:pPr>
                    </w:p>
                    <w:p w14:paraId="4CFD035A">
                      <w:pPr>
                        <w:spacing w:before="190"/>
                      </w:pPr>
                    </w:p>
                    <w:p w14:paraId="21768271">
                      <w:pPr>
                        <w:spacing w:before="190"/>
                      </w:pPr>
                    </w:p>
                  </w:txbxContent>
                </v:textbox>
              </v:rect>
            </w:pict>
          </mc:Fallback>
        </mc:AlternateContent>
      </w:r>
    </w:p>
    <w:p w14:paraId="07FAEE17">
      <w:pPr>
        <w:widowControl/>
        <w:adjustRightInd w:val="0"/>
        <w:snapToGrid w:val="0"/>
        <w:spacing w:before="312" w:beforeLines="100"/>
        <w:jc w:val="left"/>
        <w:rPr>
          <w:rFonts w:eastAsiaTheme="majorEastAsia"/>
          <w:b/>
          <w:sz w:val="44"/>
          <w:szCs w:val="44"/>
        </w:rPr>
      </w:pPr>
    </w:p>
    <w:p w14:paraId="408CAC64">
      <w:pPr>
        <w:widowControl/>
        <w:adjustRightInd w:val="0"/>
        <w:snapToGrid w:val="0"/>
        <w:spacing w:before="312" w:beforeLines="100"/>
        <w:jc w:val="left"/>
        <w:rPr>
          <w:rFonts w:eastAsiaTheme="majorEastAsia"/>
          <w:b/>
          <w:sz w:val="44"/>
          <w:szCs w:val="44"/>
        </w:rPr>
      </w:pPr>
    </w:p>
    <w:p w14:paraId="6FBE4F78">
      <w:pPr>
        <w:widowControl/>
        <w:adjustRightInd w:val="0"/>
        <w:snapToGrid w:val="0"/>
        <w:spacing w:before="312" w:beforeLines="100"/>
        <w:jc w:val="left"/>
        <w:rPr>
          <w:rFonts w:eastAsiaTheme="majorEastAsia"/>
          <w:b/>
          <w:sz w:val="44"/>
          <w:szCs w:val="44"/>
        </w:rPr>
      </w:pPr>
    </w:p>
    <w:p w14:paraId="72FB91F2">
      <w:pPr>
        <w:widowControl/>
        <w:adjustRightInd w:val="0"/>
        <w:snapToGrid w:val="0"/>
        <w:spacing w:before="312" w:beforeLines="100"/>
        <w:jc w:val="left"/>
        <w:rPr>
          <w:rFonts w:eastAsiaTheme="majorEastAsia"/>
          <w:b/>
          <w:sz w:val="44"/>
          <w:szCs w:val="44"/>
        </w:rPr>
      </w:pPr>
    </w:p>
    <w:p w14:paraId="381AEBB9">
      <w:pPr>
        <w:widowControl/>
        <w:adjustRightInd w:val="0"/>
        <w:snapToGrid w:val="0"/>
        <w:spacing w:before="312" w:beforeLines="100"/>
        <w:jc w:val="left"/>
        <w:rPr>
          <w:rFonts w:eastAsiaTheme="majorEastAsia"/>
          <w:b/>
          <w:sz w:val="44"/>
          <w:szCs w:val="44"/>
        </w:rPr>
      </w:pPr>
    </w:p>
    <w:p w14:paraId="7BD1E6F4">
      <w:pPr>
        <w:widowControl/>
        <w:adjustRightInd w:val="0"/>
        <w:snapToGrid w:val="0"/>
        <w:spacing w:before="312" w:beforeLines="100"/>
        <w:jc w:val="left"/>
        <w:rPr>
          <w:rFonts w:eastAsiaTheme="majorEastAsia"/>
          <w:b/>
          <w:sz w:val="44"/>
          <w:szCs w:val="44"/>
        </w:rPr>
      </w:pPr>
    </w:p>
    <w:p w14:paraId="3E961B2C">
      <w:pPr>
        <w:widowControl/>
        <w:adjustRightInd w:val="0"/>
        <w:snapToGrid w:val="0"/>
        <w:spacing w:before="312" w:beforeLines="100"/>
        <w:jc w:val="left"/>
        <w:rPr>
          <w:rFonts w:eastAsiaTheme="majorEastAsia"/>
          <w:b/>
          <w:sz w:val="44"/>
          <w:szCs w:val="44"/>
        </w:rPr>
      </w:pPr>
    </w:p>
    <w:p w14:paraId="1F9D3CA1">
      <w:pPr>
        <w:widowControl/>
        <w:adjustRightInd w:val="0"/>
        <w:snapToGrid w:val="0"/>
        <w:spacing w:before="312" w:beforeLines="100"/>
        <w:jc w:val="left"/>
        <w:rPr>
          <w:rFonts w:eastAsiaTheme="majorEastAsia"/>
          <w:b/>
          <w:sz w:val="44"/>
          <w:szCs w:val="44"/>
        </w:rPr>
      </w:pPr>
    </w:p>
    <w:p w14:paraId="6E2BB790">
      <w:pPr>
        <w:widowControl/>
        <w:adjustRightInd w:val="0"/>
        <w:snapToGrid w:val="0"/>
        <w:spacing w:before="312" w:beforeLines="100"/>
        <w:jc w:val="left"/>
        <w:rPr>
          <w:rFonts w:eastAsiaTheme="majorEastAsia"/>
          <w:b/>
          <w:sz w:val="44"/>
          <w:szCs w:val="44"/>
        </w:rPr>
      </w:pPr>
    </w:p>
    <w:p w14:paraId="1E2E0FAB">
      <w:pPr>
        <w:widowControl/>
        <w:adjustRightInd w:val="0"/>
        <w:snapToGrid w:val="0"/>
        <w:spacing w:before="312" w:beforeLines="100"/>
        <w:jc w:val="left"/>
        <w:rPr>
          <w:rFonts w:eastAsiaTheme="majorEastAsia"/>
          <w:b/>
          <w:sz w:val="44"/>
          <w:szCs w:val="44"/>
        </w:rPr>
      </w:pPr>
    </w:p>
    <w:p w14:paraId="681BCC70">
      <w:pPr>
        <w:widowControl/>
        <w:spacing w:line="276" w:lineRule="auto"/>
        <w:jc w:val="center"/>
        <w:rPr>
          <w:rFonts w:hint="eastAsia" w:ascii="楷体" w:hAnsi="楷体" w:eastAsia="楷体"/>
          <w:b/>
          <w:kern w:val="0"/>
          <w:sz w:val="32"/>
          <w:szCs w:val="32"/>
          <w:lang w:val="zh-CN" w:bidi="zh-CN"/>
        </w:rPr>
      </w:pPr>
      <w:r>
        <w:rPr>
          <w:rFonts w:hint="eastAsia" w:ascii="楷体" w:hAnsi="楷体" w:eastAsia="楷体"/>
          <w:b/>
          <w:kern w:val="0"/>
          <w:sz w:val="32"/>
          <w:szCs w:val="32"/>
          <w:lang w:val="zh-CN" w:bidi="zh-CN"/>
        </w:rPr>
        <w:t>上海市科学技术委员会</w:t>
      </w:r>
    </w:p>
    <w:p w14:paraId="0D7EE32B">
      <w:pPr>
        <w:widowControl/>
        <w:spacing w:line="276" w:lineRule="auto"/>
        <w:jc w:val="center"/>
        <w:rPr>
          <w:rFonts w:hint="eastAsia" w:ascii="楷体" w:hAnsi="楷体" w:eastAsia="楷体"/>
          <w:b/>
          <w:kern w:val="0"/>
          <w:sz w:val="32"/>
          <w:szCs w:val="32"/>
        </w:rPr>
      </w:pPr>
      <w:r>
        <w:rPr>
          <w:rFonts w:hint="eastAsia" w:ascii="楷体" w:hAnsi="楷体" w:eastAsia="楷体"/>
          <w:b/>
          <w:kern w:val="0"/>
          <w:sz w:val="32"/>
          <w:szCs w:val="32"/>
          <w:lang w:val="zh-CN" w:bidi="zh-CN"/>
        </w:rPr>
        <w:t>2025年</w:t>
      </w:r>
      <w:r>
        <w:rPr>
          <w:rFonts w:ascii="楷体" w:hAnsi="楷体" w:eastAsia="楷体"/>
          <w:b/>
          <w:kern w:val="0"/>
          <w:sz w:val="32"/>
          <w:szCs w:val="32"/>
          <w:lang w:val="zh-CN" w:bidi="zh-CN"/>
        </w:rPr>
        <w:t>10</w:t>
      </w:r>
      <w:r>
        <w:rPr>
          <w:rFonts w:hint="eastAsia" w:ascii="楷体" w:hAnsi="楷体" w:eastAsia="楷体"/>
          <w:b/>
          <w:kern w:val="0"/>
          <w:sz w:val="32"/>
          <w:szCs w:val="32"/>
          <w:lang w:val="zh-CN" w:bidi="zh-CN"/>
        </w:rPr>
        <w:t>月</w:t>
      </w:r>
    </w:p>
    <w:p w14:paraId="57DDB379">
      <w:pPr>
        <w:spacing w:line="540" w:lineRule="exact"/>
        <w:jc w:val="center"/>
        <w:rPr>
          <w:rFonts w:hint="eastAsia" w:ascii="黑体" w:hAnsi="黑体" w:eastAsia="黑体"/>
          <w:b/>
          <w:bCs/>
          <w:sz w:val="36"/>
          <w:szCs w:val="36"/>
          <w:shd w:val="clear" w:color="auto" w:fill="FFFFFF"/>
        </w:rPr>
        <w:sectPr>
          <w:pgSz w:w="11906" w:h="16838"/>
          <w:pgMar w:top="1814" w:right="1701" w:bottom="1361" w:left="1701" w:header="851" w:footer="992" w:gutter="0"/>
          <w:cols w:space="720" w:num="1"/>
          <w:docGrid w:type="lines" w:linePitch="312" w:charSpace="0"/>
        </w:sectPr>
      </w:pPr>
    </w:p>
    <w:sdt>
      <w:sdtPr>
        <w:rPr>
          <w:rFonts w:ascii="黑体" w:hAnsi="黑体" w:eastAsia="黑体" w:cs="Times New Roman"/>
          <w:b/>
          <w:color w:val="auto"/>
          <w:kern w:val="2"/>
          <w:sz w:val="36"/>
          <w:szCs w:val="22"/>
          <w:lang w:val="zh-CN"/>
        </w:rPr>
        <w:id w:val="479813677"/>
        <w:docPartObj>
          <w:docPartGallery w:val="Table of Contents"/>
          <w:docPartUnique/>
        </w:docPartObj>
      </w:sdtPr>
      <w:sdtEndPr>
        <w:rPr>
          <w:rFonts w:ascii="仿宋" w:hAnsi="仿宋" w:eastAsia="仿宋" w:cs="Times New Roman"/>
          <w:b w:val="0"/>
          <w:bCs/>
          <w:color w:val="auto"/>
          <w:kern w:val="2"/>
          <w:sz w:val="28"/>
          <w:szCs w:val="28"/>
          <w:lang w:val="zh-CN"/>
        </w:rPr>
      </w:sdtEndPr>
      <w:sdtContent>
        <w:p w14:paraId="6F3B1467">
          <w:pPr>
            <w:pStyle w:val="29"/>
            <w:spacing w:after="312" w:afterLines="100"/>
            <w:jc w:val="center"/>
            <w:rPr>
              <w:rFonts w:hint="eastAsia" w:ascii="黑体" w:hAnsi="黑体" w:eastAsia="黑体"/>
              <w:b/>
              <w:color w:val="auto"/>
              <w:sz w:val="44"/>
              <w:lang w:val="zh-CN"/>
            </w:rPr>
          </w:pPr>
          <w:r>
            <w:rPr>
              <w:rFonts w:ascii="黑体" w:hAnsi="黑体" w:eastAsia="黑体"/>
              <w:b/>
              <w:color w:val="auto"/>
              <w:sz w:val="44"/>
              <w:lang w:val="zh-CN"/>
            </w:rPr>
            <w:t>目</w:t>
          </w:r>
          <w:r>
            <w:rPr>
              <w:rFonts w:hint="eastAsia" w:ascii="黑体" w:hAnsi="黑体" w:eastAsia="黑体"/>
              <w:b/>
              <w:color w:val="auto"/>
              <w:sz w:val="44"/>
              <w:lang w:val="zh-CN"/>
            </w:rPr>
            <w:t xml:space="preserve">  </w:t>
          </w:r>
          <w:r>
            <w:rPr>
              <w:rFonts w:ascii="黑体" w:hAnsi="黑体" w:eastAsia="黑体"/>
              <w:b/>
              <w:color w:val="auto"/>
              <w:sz w:val="44"/>
              <w:lang w:val="zh-CN"/>
            </w:rPr>
            <w:t>录</w:t>
          </w:r>
        </w:p>
        <w:p w14:paraId="488A9F64">
          <w:pPr>
            <w:pStyle w:val="9"/>
            <w:tabs>
              <w:tab w:val="right" w:leader="dot" w:pos="8306"/>
              <w:tab w:val="clear" w:pos="8296"/>
            </w:tabs>
          </w:pPr>
          <w:r>
            <w:rPr>
              <w:rFonts w:ascii="仿宋" w:hAnsi="仿宋" w:eastAsia="仿宋"/>
              <w:b w:val="0"/>
              <w:bCs/>
            </w:rPr>
            <w:fldChar w:fldCharType="begin"/>
          </w:r>
          <w:r>
            <w:rPr>
              <w:rFonts w:ascii="仿宋" w:hAnsi="仿宋" w:eastAsia="仿宋"/>
              <w:b w:val="0"/>
              <w:bCs/>
            </w:rPr>
            <w:instrText xml:space="preserve"> TOC \o "1-3" \h \z \u </w:instrText>
          </w:r>
          <w:r>
            <w:rPr>
              <w:rFonts w:ascii="仿宋" w:hAnsi="仿宋" w:eastAsia="仿宋"/>
              <w:b w:val="0"/>
              <w:bCs/>
            </w:rPr>
            <w:fldChar w:fldCharType="separate"/>
          </w:r>
          <w:r>
            <w:fldChar w:fldCharType="begin"/>
          </w:r>
          <w:r>
            <w:instrText xml:space="preserve"> HYPERLINK \l "_Toc13670" </w:instrText>
          </w:r>
          <w:r>
            <w:fldChar w:fldCharType="separate"/>
          </w:r>
          <w:r>
            <w:rPr>
              <w:rFonts w:hint="eastAsia" w:ascii="黑体" w:hAnsi="黑体"/>
              <w:szCs w:val="32"/>
            </w:rPr>
            <w:t>专题一：支持园区产业创新发展</w:t>
          </w:r>
          <w:r>
            <w:tab/>
          </w:r>
          <w:r>
            <w:fldChar w:fldCharType="begin"/>
          </w:r>
          <w:r>
            <w:instrText xml:space="preserve"> PAGEREF _Toc13670 \h </w:instrText>
          </w:r>
          <w:r>
            <w:fldChar w:fldCharType="separate"/>
          </w:r>
          <w:r>
            <w:t>1</w:t>
          </w:r>
          <w:r>
            <w:fldChar w:fldCharType="end"/>
          </w:r>
          <w:r>
            <w:fldChar w:fldCharType="end"/>
          </w:r>
        </w:p>
        <w:p w14:paraId="09118F6E">
          <w:pPr>
            <w:pStyle w:val="10"/>
            <w:tabs>
              <w:tab w:val="right" w:leader="dot" w:pos="8306"/>
              <w:tab w:val="clear" w:pos="8302"/>
            </w:tabs>
            <w:ind w:left="560"/>
            <w:rPr>
              <w:rFonts w:hint="eastAsia"/>
            </w:rPr>
          </w:pPr>
          <w:r>
            <w:fldChar w:fldCharType="begin"/>
          </w:r>
          <w:r>
            <w:instrText xml:space="preserve"> HYPERLINK \l "_Toc11537" </w:instrText>
          </w:r>
          <w:r>
            <w:fldChar w:fldCharType="separate"/>
          </w:r>
          <w:r>
            <w:rPr>
              <w:rFonts w:hint="eastAsia" w:ascii="楷体" w:hAnsi="楷体" w:eastAsia="楷体"/>
              <w:szCs w:val="30"/>
            </w:rPr>
            <w:t>方向</w:t>
          </w:r>
          <w:r>
            <w:rPr>
              <w:rFonts w:ascii="楷体" w:hAnsi="楷体" w:eastAsia="楷体"/>
              <w:szCs w:val="30"/>
            </w:rPr>
            <w:t>1</w:t>
          </w:r>
          <w:r>
            <w:rPr>
              <w:rFonts w:hint="eastAsia" w:ascii="楷体" w:hAnsi="楷体" w:eastAsia="楷体"/>
              <w:szCs w:val="30"/>
            </w:rPr>
            <w:t>：支持研发与制造协同产业化项目</w:t>
          </w:r>
          <w:r>
            <w:tab/>
          </w:r>
          <w:r>
            <w:fldChar w:fldCharType="begin"/>
          </w:r>
          <w:r>
            <w:instrText xml:space="preserve"> PAGEREF _Toc11537 \h </w:instrText>
          </w:r>
          <w:r>
            <w:fldChar w:fldCharType="separate"/>
          </w:r>
          <w:r>
            <w:t>1</w:t>
          </w:r>
          <w:r>
            <w:fldChar w:fldCharType="end"/>
          </w:r>
          <w:r>
            <w:fldChar w:fldCharType="end"/>
          </w:r>
        </w:p>
        <w:p w14:paraId="01B8291C">
          <w:pPr>
            <w:pStyle w:val="10"/>
            <w:tabs>
              <w:tab w:val="right" w:leader="dot" w:pos="8306"/>
              <w:tab w:val="clear" w:pos="8302"/>
            </w:tabs>
            <w:ind w:left="560"/>
            <w:rPr>
              <w:rFonts w:hint="eastAsia"/>
            </w:rPr>
          </w:pPr>
          <w:r>
            <w:fldChar w:fldCharType="begin"/>
          </w:r>
          <w:r>
            <w:instrText xml:space="preserve"> HYPERLINK \l "_Toc8924" </w:instrText>
          </w:r>
          <w:r>
            <w:fldChar w:fldCharType="separate"/>
          </w:r>
          <w:r>
            <w:rPr>
              <w:rFonts w:hint="eastAsia" w:ascii="楷体" w:hAnsi="楷体" w:eastAsia="楷体"/>
              <w:szCs w:val="30"/>
            </w:rPr>
            <w:t>方向2：支持园区专业运营服务能力共享提升</w:t>
          </w:r>
          <w:r>
            <w:tab/>
          </w:r>
          <w:r>
            <w:fldChar w:fldCharType="begin"/>
          </w:r>
          <w:r>
            <w:instrText xml:space="preserve"> PAGEREF _Toc8924 \h </w:instrText>
          </w:r>
          <w:r>
            <w:fldChar w:fldCharType="separate"/>
          </w:r>
          <w:r>
            <w:t>4</w:t>
          </w:r>
          <w:r>
            <w:fldChar w:fldCharType="end"/>
          </w:r>
          <w:r>
            <w:fldChar w:fldCharType="end"/>
          </w:r>
        </w:p>
        <w:p w14:paraId="110DC8DA">
          <w:pPr>
            <w:adjustRightInd w:val="0"/>
            <w:snapToGrid w:val="0"/>
            <w:spacing w:line="360" w:lineRule="auto"/>
            <w:rPr>
              <w:rFonts w:hint="eastAsia" w:ascii="仿宋" w:hAnsi="仿宋"/>
              <w:bCs/>
              <w:szCs w:val="28"/>
            </w:rPr>
          </w:pPr>
          <w:r>
            <w:rPr>
              <w:rFonts w:ascii="仿宋" w:hAnsi="仿宋"/>
              <w:bCs/>
              <w:szCs w:val="28"/>
              <w:lang w:val="zh-CN"/>
            </w:rPr>
            <w:fldChar w:fldCharType="end"/>
          </w:r>
        </w:p>
      </w:sdtContent>
    </w:sdt>
    <w:p w14:paraId="58DF1715">
      <w:pPr>
        <w:adjustRightInd w:val="0"/>
        <w:snapToGrid w:val="0"/>
        <w:spacing w:line="540" w:lineRule="exact"/>
        <w:jc w:val="center"/>
        <w:rPr>
          <w:rFonts w:hint="eastAsia" w:ascii="仿宋" w:hAnsi="仿宋"/>
          <w:bCs/>
          <w:szCs w:val="28"/>
          <w:shd w:val="clear" w:color="auto" w:fill="FFFFFF"/>
        </w:rPr>
        <w:sectPr>
          <w:footerReference r:id="rId3" w:type="default"/>
          <w:pgSz w:w="11906" w:h="16838"/>
          <w:pgMar w:top="1440" w:right="1800" w:bottom="1440" w:left="1800" w:header="851" w:footer="992" w:gutter="0"/>
          <w:pgNumType w:fmt="lowerRoman" w:start="1"/>
          <w:cols w:space="720" w:num="1"/>
          <w:docGrid w:type="lines" w:linePitch="312" w:charSpace="0"/>
        </w:sectPr>
      </w:pPr>
    </w:p>
    <w:p w14:paraId="018560D7">
      <w:pPr>
        <w:adjustRightInd w:val="0"/>
        <w:snapToGrid w:val="0"/>
        <w:spacing w:line="520" w:lineRule="exact"/>
        <w:jc w:val="center"/>
        <w:rPr>
          <w:rFonts w:hint="eastAsia" w:ascii="黑体" w:hAnsi="黑体" w:eastAsia="黑体"/>
          <w:b/>
          <w:bCs/>
          <w:color w:val="auto"/>
          <w:sz w:val="36"/>
          <w:szCs w:val="36"/>
          <w:shd w:val="clear" w:color="auto" w:fill="FFFFFF"/>
        </w:rPr>
      </w:pPr>
      <w:bookmarkStart w:id="0" w:name="_Toc192766045"/>
      <w:bookmarkStart w:id="1" w:name="_Toc191934603"/>
      <w:bookmarkStart w:id="2" w:name="_Hlk175560854"/>
      <w:bookmarkStart w:id="3" w:name="OLE_LINK8"/>
      <w:r>
        <w:rPr>
          <w:rFonts w:hint="eastAsia" w:ascii="黑体" w:hAnsi="黑体" w:eastAsia="黑体"/>
          <w:b/>
          <w:bCs/>
          <w:color w:val="auto"/>
          <w:sz w:val="36"/>
          <w:szCs w:val="36"/>
          <w:shd w:val="clear" w:color="auto" w:fill="FFFFFF"/>
        </w:rPr>
        <w:t>2</w:t>
      </w:r>
      <w:r>
        <w:rPr>
          <w:rFonts w:ascii="黑体" w:hAnsi="黑体" w:eastAsia="黑体"/>
          <w:b/>
          <w:bCs/>
          <w:color w:val="auto"/>
          <w:sz w:val="36"/>
          <w:szCs w:val="36"/>
          <w:shd w:val="clear" w:color="auto" w:fill="FFFFFF"/>
        </w:rPr>
        <w:t>025</w:t>
      </w:r>
      <w:r>
        <w:rPr>
          <w:rFonts w:hint="eastAsia" w:ascii="黑体" w:hAnsi="黑体" w:eastAsia="黑体"/>
          <w:b/>
          <w:bCs/>
          <w:color w:val="auto"/>
          <w:sz w:val="36"/>
          <w:szCs w:val="36"/>
          <w:shd w:val="clear" w:color="auto" w:fill="FFFFFF"/>
        </w:rPr>
        <w:t>年度上海张江国家自主创新示范区专项发展资金</w:t>
      </w:r>
    </w:p>
    <w:p w14:paraId="74E0D445">
      <w:pPr>
        <w:adjustRightInd w:val="0"/>
        <w:snapToGrid w:val="0"/>
        <w:spacing w:line="520" w:lineRule="exact"/>
        <w:jc w:val="center"/>
        <w:rPr>
          <w:rFonts w:hint="eastAsia" w:ascii="黑体" w:hAnsi="黑体" w:eastAsia="黑体" w:cs="黑体"/>
          <w:b/>
          <w:bCs/>
          <w:color w:val="auto"/>
          <w:sz w:val="40"/>
          <w:szCs w:val="36"/>
        </w:rPr>
      </w:pPr>
      <w:r>
        <w:rPr>
          <w:rFonts w:hint="eastAsia" w:ascii="黑体" w:hAnsi="黑体" w:eastAsia="黑体"/>
          <w:b/>
          <w:bCs/>
          <w:color w:val="auto"/>
          <w:sz w:val="36"/>
          <w:szCs w:val="36"/>
          <w:shd w:val="clear" w:color="auto" w:fill="FFFFFF"/>
        </w:rPr>
        <w:t>重点项目申报指南解读</w:t>
      </w:r>
      <w:bookmarkEnd w:id="0"/>
      <w:r>
        <w:rPr>
          <w:rFonts w:hint="eastAsia" w:ascii="黑体" w:hAnsi="黑体" w:eastAsia="黑体"/>
          <w:b/>
          <w:bCs/>
          <w:color w:val="auto"/>
          <w:sz w:val="36"/>
          <w:szCs w:val="36"/>
          <w:shd w:val="clear" w:color="auto" w:fill="FFFFFF"/>
        </w:rPr>
        <w:t>（第三批）</w:t>
      </w:r>
    </w:p>
    <w:p w14:paraId="703C55CC">
      <w:pPr>
        <w:snapToGrid w:val="0"/>
        <w:spacing w:before="156" w:beforeLines="50" w:after="156" w:afterLines="50" w:line="520" w:lineRule="exact"/>
        <w:ind w:firstLine="643" w:firstLineChars="200"/>
        <w:outlineLvl w:val="0"/>
        <w:rPr>
          <w:rFonts w:hint="eastAsia" w:ascii="黑体" w:hAnsi="黑体" w:eastAsia="黑体"/>
          <w:b/>
          <w:color w:val="auto"/>
          <w:sz w:val="32"/>
          <w:szCs w:val="32"/>
        </w:rPr>
      </w:pPr>
      <w:bookmarkStart w:id="4" w:name="_Toc13670"/>
      <w:bookmarkStart w:id="5" w:name="OLE_LINK38"/>
      <w:bookmarkStart w:id="6" w:name="OLE_LINK37"/>
      <w:r>
        <w:rPr>
          <w:rFonts w:hint="eastAsia" w:ascii="黑体" w:hAnsi="黑体" w:eastAsia="黑体"/>
          <w:b/>
          <w:color w:val="auto"/>
          <w:sz w:val="32"/>
          <w:szCs w:val="32"/>
        </w:rPr>
        <w:t>专题一：</w:t>
      </w:r>
      <w:bookmarkStart w:id="7" w:name="_Hlk176777000"/>
      <w:r>
        <w:rPr>
          <w:rFonts w:hint="eastAsia" w:ascii="黑体" w:hAnsi="黑体" w:eastAsia="黑体"/>
          <w:b/>
          <w:color w:val="auto"/>
          <w:sz w:val="32"/>
          <w:szCs w:val="32"/>
        </w:rPr>
        <w:t>支持园区产业</w:t>
      </w:r>
      <w:bookmarkEnd w:id="1"/>
      <w:bookmarkEnd w:id="7"/>
      <w:r>
        <w:rPr>
          <w:rFonts w:hint="eastAsia" w:ascii="黑体" w:hAnsi="黑体" w:eastAsia="黑体"/>
          <w:b/>
          <w:color w:val="auto"/>
          <w:sz w:val="32"/>
          <w:szCs w:val="32"/>
        </w:rPr>
        <w:t>创新发展</w:t>
      </w:r>
      <w:bookmarkEnd w:id="4"/>
    </w:p>
    <w:bookmarkEnd w:id="2"/>
    <w:bookmarkEnd w:id="3"/>
    <w:bookmarkEnd w:id="5"/>
    <w:bookmarkEnd w:id="6"/>
    <w:p w14:paraId="55B46CB8">
      <w:pPr>
        <w:pStyle w:val="3"/>
        <w:snapToGrid w:val="0"/>
        <w:spacing w:before="156" w:beforeLines="50" w:after="156" w:afterLines="50" w:line="520" w:lineRule="exact"/>
        <w:ind w:firstLine="562" w:firstLineChars="200"/>
        <w:rPr>
          <w:rFonts w:hint="eastAsia" w:ascii="楷体" w:hAnsi="楷体" w:eastAsia="楷体"/>
          <w:color w:val="auto"/>
          <w:sz w:val="28"/>
          <w:szCs w:val="28"/>
        </w:rPr>
      </w:pPr>
      <w:bookmarkStart w:id="8" w:name="_Toc11537"/>
      <w:bookmarkStart w:id="9" w:name="_Toc191934605"/>
      <w:r>
        <w:rPr>
          <w:rFonts w:hint="eastAsia" w:ascii="楷体" w:hAnsi="楷体" w:eastAsia="楷体"/>
          <w:color w:val="auto"/>
          <w:sz w:val="28"/>
          <w:szCs w:val="28"/>
        </w:rPr>
        <w:t>方向</w:t>
      </w:r>
      <w:r>
        <w:rPr>
          <w:rFonts w:ascii="楷体" w:hAnsi="楷体" w:eastAsia="楷体"/>
          <w:color w:val="auto"/>
          <w:sz w:val="28"/>
          <w:szCs w:val="28"/>
        </w:rPr>
        <w:t>1</w:t>
      </w:r>
      <w:r>
        <w:rPr>
          <w:rFonts w:hint="eastAsia" w:ascii="楷体" w:hAnsi="楷体" w:eastAsia="楷体"/>
          <w:color w:val="auto"/>
          <w:sz w:val="28"/>
          <w:szCs w:val="28"/>
        </w:rPr>
        <w:t>：支持研发与制造协同产业化项目</w:t>
      </w:r>
      <w:bookmarkEnd w:id="8"/>
    </w:p>
    <w:bookmarkEnd w:id="9"/>
    <w:p w14:paraId="05BBA132">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支持内容：</w:t>
      </w:r>
    </w:p>
    <w:p w14:paraId="0A23A02F">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围绕本市战略性新兴产业、分园主导特色产业以及未来产业新赛道，支持企业将拥有自主知识产权且科技创新性强、工艺技术先进、市场前景好的科技成果进行产业化，开展生产设备、生产线、生产基地等产业化项目建设，提升企业生产制造能级，加速研发与制造一体化发展。</w:t>
      </w:r>
    </w:p>
    <w:p w14:paraId="13C4D436">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申报条件：</w:t>
      </w:r>
    </w:p>
    <w:p w14:paraId="010DEABF">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1、申报主体为拥有有效发明专利且科技创新性强、工艺技术先进、市场前景好的科技成果并开展产业化项目建设的企业。产业化项目需以科技创新为牵引，以推动新质生产力发展为目标，对企业实施科技成果产业化的生产设备、生产线进行创新开发、更新迭代以及生产基地新建或改扩建。</w:t>
      </w:r>
    </w:p>
    <w:p w14:paraId="0DF34DAC">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2、产业化项目须已开工，固定资产投资已实际发生，具备项目建设基础条件，包括但不限于投资立项、规划、土地、环评、资金、施工许可等。产业化项目总投资原则上不超过10000万元且不低于1500万元，其中生物医药产业化项目总投资原则上不超过5000万元，经评估对科技特征明显、科学内涵丰富、推动科技创新与产业创新深度融合作用特别突出的项目可适当放宽总投资上限。项目总投资中固定资产投资金额不低于50%；项目应于2024年1月1日之后开工，且2025年1月1日之后新增投资金额不低于总投资的70%。</w:t>
      </w:r>
    </w:p>
    <w:p w14:paraId="49F78060">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3、项目建设方案要目标明确、内容合理、路径清晰，能够有效加速产业化项目建设，提升企业研发与制造一体化能力。</w:t>
      </w:r>
    </w:p>
    <w:p w14:paraId="3704AD64">
      <w:pPr>
        <w:adjustRightInd w:val="0"/>
        <w:snapToGrid w:val="0"/>
        <w:spacing w:line="520" w:lineRule="exact"/>
        <w:ind w:firstLine="562" w:firstLineChars="200"/>
        <w:rPr>
          <w:rFonts w:hint="eastAsia" w:ascii="仿宋" w:hAnsi="仿宋" w:cstheme="minorBidi"/>
          <w:b/>
          <w:bCs/>
          <w:color w:val="auto"/>
          <w:sz w:val="28"/>
          <w:szCs w:val="28"/>
        </w:rPr>
      </w:pPr>
      <w:bookmarkStart w:id="10" w:name="_Hlk191498822"/>
      <w:r>
        <w:rPr>
          <w:rFonts w:hint="eastAsia" w:ascii="仿宋" w:hAnsi="仿宋" w:cstheme="minorBidi"/>
          <w:b/>
          <w:bCs/>
          <w:color w:val="auto"/>
          <w:sz w:val="28"/>
          <w:szCs w:val="28"/>
        </w:rPr>
        <w:t>支持方式和经费：</w:t>
      </w:r>
    </w:p>
    <w:p w14:paraId="497CB4A3">
      <w:pPr>
        <w:spacing w:line="520" w:lineRule="exact"/>
        <w:ind w:firstLine="560" w:firstLineChars="200"/>
        <w:rPr>
          <w:rFonts w:hint="eastAsia" w:ascii="仿宋" w:hAnsi="仿宋"/>
          <w:color w:val="auto"/>
          <w:sz w:val="28"/>
          <w:szCs w:val="28"/>
        </w:rPr>
      </w:pPr>
      <w:bookmarkStart w:id="11" w:name="_Hlk176778566"/>
      <w:r>
        <w:rPr>
          <w:rFonts w:hint="eastAsia" w:ascii="仿宋" w:hAnsi="仿宋"/>
          <w:color w:val="auto"/>
          <w:sz w:val="28"/>
          <w:szCs w:val="28"/>
        </w:rPr>
        <w:t>采取前补助方式，分阶段拨付，一般支持周期为2年。按照不超过项目评审认定的有效投资金额的30%，给予最高不超过1500万元的资金支持，共支持不超过50项。</w:t>
      </w:r>
    </w:p>
    <w:bookmarkEnd w:id="10"/>
    <w:bookmarkEnd w:id="11"/>
    <w:p w14:paraId="502AACDA">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执行期限：</w:t>
      </w:r>
    </w:p>
    <w:p w14:paraId="103606A8">
      <w:pPr>
        <w:pBdr>
          <w:bottom w:val="double" w:color="auto" w:sz="6" w:space="1"/>
        </w:pBdr>
        <w:snapToGrid w:val="0"/>
        <w:spacing w:before="312" w:beforeLines="100" w:after="156" w:afterLines="50" w:line="520" w:lineRule="exact"/>
        <w:ind w:firstLine="560" w:firstLineChars="200"/>
        <w:rPr>
          <w:rFonts w:hint="eastAsia" w:ascii="仿宋" w:hAnsi="仿宋"/>
          <w:color w:val="auto"/>
          <w:position w:val="40"/>
          <w:sz w:val="28"/>
          <w:szCs w:val="28"/>
        </w:rPr>
      </w:pPr>
      <w:r>
        <w:rPr>
          <w:rFonts w:hint="eastAsia" w:ascii="仿宋" w:hAnsi="仿宋"/>
          <w:color w:val="auto"/>
          <w:position w:val="40"/>
          <w:sz w:val="28"/>
          <w:szCs w:val="28"/>
        </w:rPr>
        <w:t>2025年12月1日至2027年11月30日。</w:t>
      </w:r>
    </w:p>
    <w:p w14:paraId="03AA1E3F">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申报材料：</w:t>
      </w:r>
    </w:p>
    <w:p w14:paraId="305707BE">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1、营业执照；</w:t>
      </w:r>
    </w:p>
    <w:p w14:paraId="15D0C7FC">
      <w:pPr>
        <w:spacing w:line="520" w:lineRule="exact"/>
        <w:ind w:firstLine="560" w:firstLineChars="200"/>
        <w:rPr>
          <w:rFonts w:hint="eastAsia" w:ascii="仿宋" w:hAnsi="仿宋"/>
          <w:color w:val="auto"/>
          <w:sz w:val="28"/>
          <w:szCs w:val="28"/>
        </w:rPr>
      </w:pPr>
      <w:r>
        <w:rPr>
          <w:rFonts w:ascii="仿宋" w:hAnsi="仿宋"/>
          <w:color w:val="auto"/>
          <w:sz w:val="28"/>
          <w:szCs w:val="28"/>
        </w:rPr>
        <w:t>2</w:t>
      </w:r>
      <w:r>
        <w:rPr>
          <w:rFonts w:hint="eastAsia" w:ascii="仿宋" w:hAnsi="仿宋"/>
          <w:color w:val="auto"/>
          <w:sz w:val="28"/>
          <w:szCs w:val="28"/>
        </w:rPr>
        <w:t>、项目可行性研究方案；</w:t>
      </w:r>
    </w:p>
    <w:p w14:paraId="0594DEB9">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3、2024年度审计报告</w:t>
      </w:r>
      <w:r>
        <w:rPr>
          <w:rFonts w:hint="eastAsia" w:ascii="仿宋" w:hAnsi="仿宋"/>
          <w:color w:val="auto"/>
          <w:sz w:val="28"/>
          <w:szCs w:val="28"/>
          <w:lang w:eastAsia="zh-CN"/>
        </w:rPr>
        <w:t>（如有请提供）</w:t>
      </w:r>
      <w:r>
        <w:rPr>
          <w:rFonts w:hint="eastAsia" w:ascii="仿宋" w:hAnsi="仿宋"/>
          <w:color w:val="auto"/>
          <w:sz w:val="28"/>
          <w:szCs w:val="28"/>
        </w:rPr>
        <w:t>；</w:t>
      </w:r>
    </w:p>
    <w:p w14:paraId="3B312052">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4、项目核心技术的有效发明专利证书；</w:t>
      </w:r>
    </w:p>
    <w:p w14:paraId="66B1BDB5">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5、项目开工证明（如投资备案、规划许可、土地使用证明、环评批复文件、施工许可等）、投资证明、自筹资金证明等；</w:t>
      </w:r>
    </w:p>
    <w:p w14:paraId="699AEB84">
      <w:pPr>
        <w:spacing w:line="520" w:lineRule="exact"/>
        <w:ind w:firstLine="560" w:firstLineChars="200"/>
        <w:rPr>
          <w:rFonts w:ascii="仿宋" w:hAnsi="仿宋"/>
          <w:color w:val="auto"/>
          <w:sz w:val="28"/>
          <w:szCs w:val="28"/>
        </w:rPr>
      </w:pPr>
      <w:r>
        <w:rPr>
          <w:rFonts w:hint="eastAsia" w:ascii="仿宋" w:hAnsi="仿宋"/>
          <w:color w:val="auto"/>
          <w:sz w:val="28"/>
          <w:szCs w:val="28"/>
        </w:rPr>
        <w:t>6、其他与项目相关的证明材料；</w:t>
      </w:r>
    </w:p>
    <w:p w14:paraId="2DA4AE17">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7、承诺函。</w:t>
      </w:r>
    </w:p>
    <w:p w14:paraId="7DA215B9">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名词解释：</w:t>
      </w:r>
    </w:p>
    <w:p w14:paraId="4E2855FD">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1、</w:t>
      </w:r>
      <w:r>
        <w:rPr>
          <w:rFonts w:ascii="仿宋" w:hAnsi="仿宋"/>
          <w:color w:val="auto"/>
          <w:sz w:val="28"/>
          <w:szCs w:val="28"/>
        </w:rPr>
        <w:t>固定资产投资</w:t>
      </w:r>
      <w:r>
        <w:rPr>
          <w:rFonts w:hint="eastAsia" w:ascii="仿宋" w:hAnsi="仿宋"/>
          <w:color w:val="auto"/>
          <w:sz w:val="28"/>
          <w:szCs w:val="28"/>
        </w:rPr>
        <w:t>：是指生产设备、生产线、生产基地等产业化项目建设投入，如设备购置费：购买、升级生产线和关键设备等；工程费：新建或改扩建厂房、仓库等。流动资金，如员工工资、原材料采购费、市场推广费等，不属于固定资产投资。</w:t>
      </w:r>
    </w:p>
    <w:p w14:paraId="155FA6C5">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解读要点：</w:t>
      </w:r>
    </w:p>
    <w:p w14:paraId="0468B065">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1、项目总投资中固定资产投资金额要求不低于50%，其他预算科目不设限制。</w:t>
      </w:r>
    </w:p>
    <w:p w14:paraId="5AC61580">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2、项目申报时仅需证明已有部分固定资产投资发生即可，不要求全部完成，用于表明项目已实质性启动。</w:t>
      </w:r>
    </w:p>
    <w:p w14:paraId="118D8BD7">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3、“2025年1月1日之后新增投资金额不低于总投资的70%”：</w:t>
      </w:r>
    </w:p>
    <w:p w14:paraId="7E3A7A63">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举例说明：假设项目总投资2000万元。</w:t>
      </w:r>
    </w:p>
    <w:p w14:paraId="24762C84">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（1）符合情况：至2024年底，项目已投入500万（占25%），计划在2025年及以后再投入1500万（占75%）。即满足“新增投资≥70%”的要求。</w:t>
      </w:r>
    </w:p>
    <w:p w14:paraId="649683DD">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（2）不符合情况：至2024年底，项目已投入1000万（占50%），未来仅剩1000万投资计划（占50%）。即不满足“新增投资≥70%”的要求。</w:t>
      </w:r>
    </w:p>
    <w:p w14:paraId="12FFD15F">
      <w:pPr>
        <w:spacing w:line="520" w:lineRule="exact"/>
        <w:ind w:firstLine="560" w:firstLineChars="200"/>
        <w:rPr>
          <w:rFonts w:hint="eastAsia" w:ascii="仿宋" w:hAnsi="仿宋" w:eastAsia="仿宋"/>
          <w:color w:val="auto"/>
          <w:sz w:val="28"/>
          <w:szCs w:val="28"/>
          <w:lang w:val="en-US" w:eastAsia="zh-CN"/>
        </w:rPr>
      </w:pPr>
      <w:r>
        <w:rPr>
          <w:rFonts w:hint="eastAsia" w:ascii="仿宋" w:hAnsi="仿宋"/>
          <w:color w:val="auto"/>
          <w:sz w:val="28"/>
          <w:szCs w:val="28"/>
          <w:lang w:val="en-US" w:eastAsia="zh-CN"/>
        </w:rPr>
        <w:t>4、</w:t>
      </w:r>
      <w:r>
        <w:rPr>
          <w:rFonts w:hint="eastAsia" w:ascii="仿宋" w:hAnsi="仿宋"/>
          <w:color w:val="auto"/>
          <w:sz w:val="28"/>
          <w:szCs w:val="28"/>
        </w:rPr>
        <w:t>项目可行性研究方案</w:t>
      </w:r>
      <w:r>
        <w:rPr>
          <w:rFonts w:hint="eastAsia" w:ascii="仿宋" w:hAnsi="仿宋"/>
          <w:color w:val="auto"/>
          <w:sz w:val="28"/>
          <w:szCs w:val="28"/>
          <w:lang w:eastAsia="zh-CN"/>
        </w:rPr>
        <w:t>需着重说明经济效益、科技创新、项目必要性（包括能否实现科技自立自强、能否实现技术领先、能否抢占国际市场）等。</w:t>
      </w:r>
    </w:p>
    <w:p w14:paraId="7D4DB329">
      <w:pPr>
        <w:pStyle w:val="11"/>
        <w:shd w:val="clear" w:color="auto" w:fill="FFFFFF"/>
        <w:spacing w:before="0" w:beforeAutospacing="0" w:after="0" w:afterAutospacing="0" w:line="520" w:lineRule="exact"/>
        <w:ind w:firstLine="544" w:firstLineChars="200"/>
        <w:jc w:val="both"/>
        <w:rPr>
          <w:rFonts w:hint="eastAsia" w:ascii="仿宋" w:hAnsi="仿宋"/>
          <w:bCs/>
          <w:snapToGrid w:val="0"/>
          <w:color w:val="auto"/>
          <w:spacing w:val="-4"/>
          <w:sz w:val="28"/>
          <w:szCs w:val="28"/>
        </w:rPr>
      </w:pPr>
    </w:p>
    <w:p w14:paraId="28DF3218">
      <w:pPr>
        <w:spacing w:line="520" w:lineRule="exact"/>
        <w:ind w:firstLine="562" w:firstLineChars="200"/>
        <w:rPr>
          <w:rFonts w:hint="eastAsia" w:ascii="楷体" w:hAnsi="楷体" w:eastAsia="楷体" w:cs="楷体"/>
          <w:b/>
          <w:color w:val="auto"/>
          <w:szCs w:val="28"/>
        </w:rPr>
        <w:sectPr>
          <w:footerReference r:id="rId4" w:type="default"/>
          <w:pgSz w:w="11906" w:h="16838"/>
          <w:pgMar w:top="1814" w:right="1701" w:bottom="1361" w:left="1701" w:header="851" w:footer="992" w:gutter="0"/>
          <w:pgNumType w:start="1"/>
          <w:cols w:space="720" w:num="1"/>
          <w:docGrid w:type="lines" w:linePitch="312" w:charSpace="0"/>
        </w:sectPr>
      </w:pPr>
      <w:bookmarkStart w:id="12" w:name="_Hlk175560895"/>
    </w:p>
    <w:bookmarkEnd w:id="12"/>
    <w:p w14:paraId="1591827C">
      <w:pPr>
        <w:pStyle w:val="3"/>
        <w:snapToGrid w:val="0"/>
        <w:spacing w:before="190" w:beforeLines="50" w:after="190" w:afterLines="50" w:line="520" w:lineRule="exact"/>
        <w:ind w:firstLine="562" w:firstLineChars="200"/>
        <w:rPr>
          <w:rFonts w:hint="eastAsia" w:ascii="楷体" w:hAnsi="楷体" w:eastAsia="楷体"/>
          <w:color w:val="auto"/>
          <w:sz w:val="28"/>
          <w:szCs w:val="28"/>
        </w:rPr>
      </w:pPr>
      <w:bookmarkStart w:id="13" w:name="_Toc8924"/>
      <w:bookmarkStart w:id="14" w:name="_Hlk175560911"/>
      <w:bookmarkStart w:id="15" w:name="_Toc191934609"/>
      <w:r>
        <w:rPr>
          <w:rFonts w:hint="eastAsia" w:ascii="楷体" w:hAnsi="楷体" w:eastAsia="楷体"/>
          <w:color w:val="auto"/>
          <w:sz w:val="28"/>
          <w:szCs w:val="28"/>
        </w:rPr>
        <w:t>方向2：支持园区专业运营服务能力共享提升</w:t>
      </w:r>
      <w:bookmarkEnd w:id="13"/>
    </w:p>
    <w:p w14:paraId="0A4798A1">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项目目标：</w:t>
      </w:r>
    </w:p>
    <w:p w14:paraId="77B71A33">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支持本市高质量孵化器、专业化技术转移示范机构以及运营能力强且成效显著的园区运营商等专业机构，通过联合经营、委托经营、托管经营等方式承接其未承担运营的园区空间载体，推动园区高品质运营能力传导输出与服务共享，带动更多园区专业运营服务能力提升，加速向集成服务商转型。</w:t>
      </w:r>
    </w:p>
    <w:p w14:paraId="4674FBD5">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支持内容：</w:t>
      </w:r>
    </w:p>
    <w:p w14:paraId="10EDE409">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1、加速产业集聚升级。支持专业机构发挥技术洞察、产业研判等专业能力，承接空间资源，开展产业升级、市场拓展、招引企业、投资融资、人才引进等工作，加速形成产业集聚效应。</w:t>
      </w:r>
    </w:p>
    <w:p w14:paraId="1151F5F4">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2、促进产创空间融合。支持专业机构发挥全要素资源整合专业能力，承接空间资源，推动高水平研发实验、概念验证、中试服务、检验检测、应用场景等要素功能布局，促进创业空间与产业空间深度融合。</w:t>
      </w:r>
    </w:p>
    <w:p w14:paraId="10554C76">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3、提升孵化转化能力。支持专业机构发挥创业孵化、成果转化等专业能力，承接空间资源，推动优质孵化培育项目或企业在园区就地产业化。</w:t>
      </w:r>
    </w:p>
    <w:p w14:paraId="336314E6">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申报条件：</w:t>
      </w:r>
    </w:p>
    <w:p w14:paraId="7B2580B6">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1、申报主体为承接其未承担运营的园区空间载体的专业机构。</w:t>
      </w:r>
    </w:p>
    <w:p w14:paraId="68C7B90E">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2、专业机构须具备较强的科技创新与产业创新资源集聚统筹能力与一定的投资建设能力。</w:t>
      </w:r>
    </w:p>
    <w:p w14:paraId="51134080">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3、专业机构与所承接运营空间载体的园区管理机构或运营机构须签订联合经营、委托经营、托管经营等合作协议，明确以专业机构为主开展园区开发运营，有具体的合作任务，承接运营空间载体建筑面积累计不低于5000平方米。</w:t>
      </w:r>
    </w:p>
    <w:p w14:paraId="6A9E5659">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4、项目建设方案要目标明确、内容合理、路径清晰，能够有效提升承接园区的运营品质与服务能力。</w:t>
      </w:r>
    </w:p>
    <w:p w14:paraId="57638B18">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支持方式和经费：</w:t>
      </w:r>
    </w:p>
    <w:p w14:paraId="20DBEDBD">
      <w:pPr>
        <w:adjustRightInd w:val="0"/>
        <w:snapToGrid w:val="0"/>
        <w:spacing w:line="520" w:lineRule="exact"/>
        <w:ind w:firstLine="560" w:firstLineChars="200"/>
        <w:rPr>
          <w:rFonts w:hint="eastAsia" w:ascii="仿宋" w:hAnsi="仿宋"/>
          <w:color w:val="auto"/>
          <w:sz w:val="28"/>
          <w:szCs w:val="28"/>
        </w:rPr>
      </w:pPr>
      <w:r>
        <w:rPr>
          <w:rFonts w:hint="eastAsia" w:ascii="仿宋" w:hAnsi="仿宋"/>
          <w:color w:val="auto"/>
          <w:sz w:val="28"/>
          <w:szCs w:val="28"/>
        </w:rPr>
        <w:t>采取前补助方式，分阶段拨付，一般支持周期为2年。按照不超过项目评估总预算的30%，给予最高不超过1000万元的资金支持，共支持不超过5项。</w:t>
      </w:r>
    </w:p>
    <w:p w14:paraId="303C3338">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执行期限：</w:t>
      </w:r>
    </w:p>
    <w:p w14:paraId="1085B0BB">
      <w:pPr>
        <w:pBdr>
          <w:bottom w:val="double" w:color="auto" w:sz="6" w:space="1"/>
        </w:pBdr>
        <w:snapToGrid w:val="0"/>
        <w:spacing w:before="381" w:beforeLines="100" w:after="190" w:afterLines="50" w:line="520" w:lineRule="exact"/>
        <w:ind w:firstLine="560" w:firstLineChars="200"/>
        <w:rPr>
          <w:rFonts w:hint="eastAsia" w:ascii="仿宋" w:hAnsi="仿宋"/>
          <w:color w:val="auto"/>
          <w:position w:val="40"/>
          <w:sz w:val="28"/>
          <w:szCs w:val="28"/>
        </w:rPr>
      </w:pPr>
      <w:r>
        <w:rPr>
          <w:rFonts w:hint="eastAsia" w:ascii="仿宋" w:hAnsi="仿宋"/>
          <w:color w:val="auto"/>
          <w:position w:val="40"/>
          <w:sz w:val="28"/>
          <w:szCs w:val="28"/>
        </w:rPr>
        <w:t>2025年12月1日至2027年11月30日。</w:t>
      </w:r>
    </w:p>
    <w:p w14:paraId="73D9B10D">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申报材料：</w:t>
      </w:r>
    </w:p>
    <w:p w14:paraId="016A25A1">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1、营业执照或登记证书；</w:t>
      </w:r>
    </w:p>
    <w:p w14:paraId="60324629">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2、项目建设方案；</w:t>
      </w:r>
    </w:p>
    <w:p w14:paraId="03BA8757">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3、2023年、2024年审计报告</w:t>
      </w:r>
      <w:r>
        <w:rPr>
          <w:rFonts w:hint="eastAsia" w:ascii="仿宋" w:hAnsi="仿宋"/>
          <w:color w:val="auto"/>
          <w:sz w:val="28"/>
          <w:szCs w:val="28"/>
          <w:lang w:eastAsia="zh-CN"/>
        </w:rPr>
        <w:t>（如有请提供）</w:t>
      </w:r>
      <w:bookmarkStart w:id="16" w:name="_GoBack"/>
      <w:bookmarkEnd w:id="16"/>
      <w:r>
        <w:rPr>
          <w:rFonts w:hint="eastAsia" w:ascii="仿宋" w:hAnsi="仿宋"/>
          <w:color w:val="auto"/>
          <w:sz w:val="28"/>
          <w:szCs w:val="28"/>
        </w:rPr>
        <w:t>；</w:t>
      </w:r>
    </w:p>
    <w:p w14:paraId="25E6B786">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4、项目自筹资金来源证明文件；</w:t>
      </w:r>
    </w:p>
    <w:p w14:paraId="1F1B5BE2">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5、合作协议或以整租、参股等形式参与园区运营服务的协议；</w:t>
      </w:r>
    </w:p>
    <w:p w14:paraId="77A0BC86">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6、承诺函；</w:t>
      </w:r>
    </w:p>
    <w:p w14:paraId="6C6D4F32">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7、其他与项目相关的证明材料（包括但不限于专业机构相关资质证书及荣誉奖项、园区运营制度、园区运营服务经验及能力等证明材料）。</w:t>
      </w:r>
    </w:p>
    <w:p w14:paraId="38842E5F">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名词解释：</w:t>
      </w:r>
    </w:p>
    <w:p w14:paraId="41F3BA12">
      <w:pPr>
        <w:pStyle w:val="11"/>
        <w:shd w:val="clear" w:color="auto" w:fill="FFFFFF"/>
        <w:spacing w:before="0" w:beforeAutospacing="0" w:after="0" w:afterAutospacing="0" w:line="520" w:lineRule="exact"/>
        <w:ind w:firstLine="546" w:firstLineChars="200"/>
        <w:jc w:val="both"/>
        <w:rPr>
          <w:rFonts w:hint="eastAsia" w:ascii="仿宋" w:hAnsi="仿宋"/>
          <w:bCs/>
          <w:snapToGrid w:val="0"/>
          <w:color w:val="auto"/>
          <w:spacing w:val="-4"/>
          <w:sz w:val="28"/>
          <w:szCs w:val="28"/>
        </w:rPr>
      </w:pPr>
      <w:r>
        <w:rPr>
          <w:rFonts w:hint="eastAsia" w:ascii="仿宋" w:hAnsi="仿宋"/>
          <w:b/>
          <w:bCs/>
          <w:snapToGrid w:val="0"/>
          <w:color w:val="auto"/>
          <w:spacing w:val="-4"/>
          <w:sz w:val="28"/>
          <w:szCs w:val="28"/>
        </w:rPr>
        <w:t>高质量孵化器：</w:t>
      </w:r>
      <w:r>
        <w:rPr>
          <w:rFonts w:hint="eastAsia" w:ascii="仿宋" w:hAnsi="仿宋"/>
          <w:bCs/>
          <w:snapToGrid w:val="0"/>
          <w:color w:val="auto"/>
          <w:spacing w:val="-4"/>
          <w:sz w:val="28"/>
          <w:szCs w:val="28"/>
        </w:rPr>
        <w:t>以全球一流孵化人才为核心牵引，具备硬科技创新策源、颠覆性科技成果转化、高成长科技企业孵化和全要素资源整合能力的高水平创新创业服务机构。通过加快培育一批产业领域聚焦、专业能力凸显、示范效应明显的高质量孵化器，带动全市孵化器从基础服务向精准服务、从集聚企业向孕育产业、从孵化链条向厚植生态转变，引领创新创业高质量发展。</w:t>
      </w:r>
    </w:p>
    <w:p w14:paraId="3E3609EC">
      <w:pPr>
        <w:adjustRightInd w:val="0"/>
        <w:snapToGrid w:val="0"/>
        <w:spacing w:line="520" w:lineRule="exact"/>
        <w:ind w:firstLine="562" w:firstLineChars="200"/>
        <w:rPr>
          <w:rFonts w:hint="eastAsia" w:ascii="仿宋" w:hAnsi="仿宋" w:cstheme="minorBidi"/>
          <w:b/>
          <w:bCs/>
          <w:color w:val="auto"/>
          <w:sz w:val="28"/>
          <w:szCs w:val="28"/>
        </w:rPr>
      </w:pPr>
      <w:r>
        <w:rPr>
          <w:rFonts w:hint="eastAsia" w:ascii="仿宋" w:hAnsi="仿宋" w:cstheme="minorBidi"/>
          <w:b/>
          <w:bCs/>
          <w:color w:val="auto"/>
          <w:sz w:val="28"/>
          <w:szCs w:val="28"/>
        </w:rPr>
        <w:t>解读要点：</w:t>
      </w:r>
    </w:p>
    <w:p w14:paraId="3A278437">
      <w:pPr>
        <w:spacing w:line="520" w:lineRule="exact"/>
        <w:ind w:firstLine="560" w:firstLineChars="200"/>
        <w:rPr>
          <w:rFonts w:hint="eastAsia" w:ascii="仿宋" w:hAnsi="仿宋"/>
          <w:color w:val="auto"/>
          <w:sz w:val="28"/>
          <w:szCs w:val="28"/>
        </w:rPr>
      </w:pPr>
      <w:r>
        <w:rPr>
          <w:rFonts w:hint="eastAsia" w:ascii="仿宋" w:hAnsi="仿宋"/>
          <w:color w:val="auto"/>
          <w:sz w:val="28"/>
          <w:szCs w:val="28"/>
        </w:rPr>
        <w:t>合作协议或以整租、参股等形式参与园区运营服务的协议期限需要覆盖项目执行周期：2025年12月1日至2027年11月30日。</w:t>
      </w:r>
    </w:p>
    <w:p w14:paraId="190817E3">
      <w:pPr>
        <w:spacing w:line="520" w:lineRule="exact"/>
        <w:ind w:firstLine="560" w:firstLineChars="200"/>
        <w:rPr>
          <w:rFonts w:hint="eastAsia" w:ascii="仿宋" w:hAnsi="仿宋"/>
          <w:color w:val="auto"/>
          <w:szCs w:val="28"/>
        </w:rPr>
      </w:pPr>
    </w:p>
    <w:bookmarkEnd w:id="14"/>
    <w:bookmarkEnd w:id="15"/>
    <w:p w14:paraId="66891423">
      <w:pPr>
        <w:adjustRightInd w:val="0"/>
        <w:snapToGrid w:val="0"/>
        <w:spacing w:line="520" w:lineRule="exact"/>
        <w:ind w:firstLine="544" w:firstLineChars="200"/>
        <w:rPr>
          <w:rFonts w:hint="eastAsia" w:ascii="仿宋" w:hAnsi="仿宋"/>
          <w:snapToGrid w:val="0"/>
          <w:color w:val="auto"/>
          <w:spacing w:val="-4"/>
          <w:kern w:val="0"/>
          <w:szCs w:val="28"/>
        </w:rPr>
      </w:pPr>
    </w:p>
    <w:sectPr>
      <w:pgSz w:w="11906" w:h="16838"/>
      <w:pgMar w:top="1440" w:right="1800" w:bottom="1440" w:left="1800" w:header="851" w:footer="992" w:gutter="0"/>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Century Gothic"/>
    <w:panose1 w:val="020F0502020204030204"/>
    <w:charset w:val="00"/>
    <w:family w:val="swiss"/>
    <w:pitch w:val="default"/>
    <w:sig w:usb0="00000000" w:usb1="00000000" w:usb2="00000001" w:usb3="00000000" w:csb0="0000019F" w:csb1="00000000"/>
  </w:font>
  <w:font w:name="Century Gothic">
    <w:panose1 w:val="020B0502020202020204"/>
    <w:charset w:val="00"/>
    <w:family w:val="auto"/>
    <w:pitch w:val="default"/>
    <w:sig w:usb0="00000287" w:usb1="00000000" w:usb2="00000000" w:usb3="00000000" w:csb0="2000009F" w:csb1="DFD70000"/>
  </w:font>
  <w:font w:name="等线">
    <w:altName w:val="宋体"/>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等线 Light">
    <w:altName w:val="仿宋"/>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1D440">
    <w:pPr>
      <w:pStyle w:val="7"/>
      <w:jc w:val="center"/>
      <w:rPr>
        <w:rFonts w:hint="eastAsia"/>
      </w:rPr>
    </w:pPr>
    <w:r>
      <w:fldChar w:fldCharType="begin"/>
    </w:r>
    <w:r>
      <w:instrText xml:space="preserve">PAGE   \* MERGEFORMAT</w:instrText>
    </w:r>
    <w:r>
      <w:fldChar w:fldCharType="separate"/>
    </w:r>
    <w:r>
      <w:rPr>
        <w:lang w:val="zh-CN"/>
      </w:rPr>
      <w:t>1</w:t>
    </w:r>
    <w:r>
      <w:fldChar w:fldCharType="end"/>
    </w:r>
  </w:p>
  <w:p w14:paraId="0A386E80">
    <w:pPr>
      <w:pStyle w:val="7"/>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7755532"/>
    </w:sdtPr>
    <w:sdtContent>
      <w:p w14:paraId="718F108D">
        <w:pPr>
          <w:pStyle w:val="7"/>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2A6"/>
    <w:rsid w:val="00005E45"/>
    <w:rsid w:val="00014D10"/>
    <w:rsid w:val="0001523F"/>
    <w:rsid w:val="00033778"/>
    <w:rsid w:val="00034584"/>
    <w:rsid w:val="00037515"/>
    <w:rsid w:val="00040115"/>
    <w:rsid w:val="0004702E"/>
    <w:rsid w:val="00052321"/>
    <w:rsid w:val="00057DDF"/>
    <w:rsid w:val="0006016C"/>
    <w:rsid w:val="00066DD9"/>
    <w:rsid w:val="00067726"/>
    <w:rsid w:val="000756B8"/>
    <w:rsid w:val="0008194C"/>
    <w:rsid w:val="0008444B"/>
    <w:rsid w:val="000855AD"/>
    <w:rsid w:val="00086531"/>
    <w:rsid w:val="000A126B"/>
    <w:rsid w:val="000A2D45"/>
    <w:rsid w:val="000A3159"/>
    <w:rsid w:val="000A4A88"/>
    <w:rsid w:val="000A6515"/>
    <w:rsid w:val="000B39A8"/>
    <w:rsid w:val="000B5A96"/>
    <w:rsid w:val="000B60FE"/>
    <w:rsid w:val="000C1702"/>
    <w:rsid w:val="000C2CD6"/>
    <w:rsid w:val="000C4EC3"/>
    <w:rsid w:val="000C54A4"/>
    <w:rsid w:val="000C5C55"/>
    <w:rsid w:val="000D1014"/>
    <w:rsid w:val="000D5AFD"/>
    <w:rsid w:val="000D79EE"/>
    <w:rsid w:val="000E7520"/>
    <w:rsid w:val="000F7CD5"/>
    <w:rsid w:val="00110FC1"/>
    <w:rsid w:val="00115D2D"/>
    <w:rsid w:val="00122333"/>
    <w:rsid w:val="00123C71"/>
    <w:rsid w:val="001320AF"/>
    <w:rsid w:val="0013229D"/>
    <w:rsid w:val="00133B8A"/>
    <w:rsid w:val="00134B85"/>
    <w:rsid w:val="00141155"/>
    <w:rsid w:val="00144416"/>
    <w:rsid w:val="00163063"/>
    <w:rsid w:val="0017187E"/>
    <w:rsid w:val="00173D0A"/>
    <w:rsid w:val="0017593E"/>
    <w:rsid w:val="00183EF1"/>
    <w:rsid w:val="0018762E"/>
    <w:rsid w:val="00193B0A"/>
    <w:rsid w:val="001A2A4E"/>
    <w:rsid w:val="001B028A"/>
    <w:rsid w:val="001B596B"/>
    <w:rsid w:val="001B79F4"/>
    <w:rsid w:val="001E5703"/>
    <w:rsid w:val="001F02F7"/>
    <w:rsid w:val="001F1FDD"/>
    <w:rsid w:val="001F5ED4"/>
    <w:rsid w:val="001F7296"/>
    <w:rsid w:val="00205785"/>
    <w:rsid w:val="00212123"/>
    <w:rsid w:val="00212AA4"/>
    <w:rsid w:val="002137BB"/>
    <w:rsid w:val="00214C7B"/>
    <w:rsid w:val="00224677"/>
    <w:rsid w:val="00224F5A"/>
    <w:rsid w:val="00231E50"/>
    <w:rsid w:val="00232661"/>
    <w:rsid w:val="00234876"/>
    <w:rsid w:val="00250624"/>
    <w:rsid w:val="00251E8F"/>
    <w:rsid w:val="00253DDE"/>
    <w:rsid w:val="002552B8"/>
    <w:rsid w:val="002553BE"/>
    <w:rsid w:val="00262769"/>
    <w:rsid w:val="00264125"/>
    <w:rsid w:val="002723E0"/>
    <w:rsid w:val="00272997"/>
    <w:rsid w:val="002822F5"/>
    <w:rsid w:val="0029048B"/>
    <w:rsid w:val="0029472B"/>
    <w:rsid w:val="002A3C60"/>
    <w:rsid w:val="002A76EA"/>
    <w:rsid w:val="002B1121"/>
    <w:rsid w:val="002B2AF5"/>
    <w:rsid w:val="002B6C78"/>
    <w:rsid w:val="002C1AAA"/>
    <w:rsid w:val="002C406C"/>
    <w:rsid w:val="002D5AEB"/>
    <w:rsid w:val="002E03B8"/>
    <w:rsid w:val="002E2565"/>
    <w:rsid w:val="002E3294"/>
    <w:rsid w:val="002E3569"/>
    <w:rsid w:val="002E6488"/>
    <w:rsid w:val="002F78C2"/>
    <w:rsid w:val="0030448B"/>
    <w:rsid w:val="00312918"/>
    <w:rsid w:val="0031475D"/>
    <w:rsid w:val="003164FA"/>
    <w:rsid w:val="00322C7D"/>
    <w:rsid w:val="003269B0"/>
    <w:rsid w:val="00333F8F"/>
    <w:rsid w:val="00347A57"/>
    <w:rsid w:val="00356F49"/>
    <w:rsid w:val="00360C38"/>
    <w:rsid w:val="003668C8"/>
    <w:rsid w:val="0037035B"/>
    <w:rsid w:val="003771A6"/>
    <w:rsid w:val="00385661"/>
    <w:rsid w:val="00392097"/>
    <w:rsid w:val="003A1151"/>
    <w:rsid w:val="003B0356"/>
    <w:rsid w:val="003B35CF"/>
    <w:rsid w:val="003E044D"/>
    <w:rsid w:val="003E138D"/>
    <w:rsid w:val="003E1CBE"/>
    <w:rsid w:val="003F05CA"/>
    <w:rsid w:val="003F1E12"/>
    <w:rsid w:val="003F2C91"/>
    <w:rsid w:val="003F3E03"/>
    <w:rsid w:val="0040006E"/>
    <w:rsid w:val="00403A6B"/>
    <w:rsid w:val="00403E06"/>
    <w:rsid w:val="0040745B"/>
    <w:rsid w:val="004159EB"/>
    <w:rsid w:val="004233E6"/>
    <w:rsid w:val="00423B94"/>
    <w:rsid w:val="00424070"/>
    <w:rsid w:val="004274C7"/>
    <w:rsid w:val="00430A7A"/>
    <w:rsid w:val="00437394"/>
    <w:rsid w:val="00441248"/>
    <w:rsid w:val="00443314"/>
    <w:rsid w:val="00444661"/>
    <w:rsid w:val="00444C16"/>
    <w:rsid w:val="004529DA"/>
    <w:rsid w:val="004603E1"/>
    <w:rsid w:val="00464438"/>
    <w:rsid w:val="00465D8D"/>
    <w:rsid w:val="00472CA1"/>
    <w:rsid w:val="00480369"/>
    <w:rsid w:val="0048115C"/>
    <w:rsid w:val="00483740"/>
    <w:rsid w:val="004A2EDF"/>
    <w:rsid w:val="004A339D"/>
    <w:rsid w:val="004B3991"/>
    <w:rsid w:val="004B4893"/>
    <w:rsid w:val="004C7F07"/>
    <w:rsid w:val="004D204A"/>
    <w:rsid w:val="004D2450"/>
    <w:rsid w:val="004D2509"/>
    <w:rsid w:val="004D33E6"/>
    <w:rsid w:val="004D48C8"/>
    <w:rsid w:val="004D623F"/>
    <w:rsid w:val="004E6D43"/>
    <w:rsid w:val="004F16DB"/>
    <w:rsid w:val="004F2BA5"/>
    <w:rsid w:val="005016AD"/>
    <w:rsid w:val="00503678"/>
    <w:rsid w:val="005048CF"/>
    <w:rsid w:val="00516E35"/>
    <w:rsid w:val="005252D4"/>
    <w:rsid w:val="005268F4"/>
    <w:rsid w:val="00526A47"/>
    <w:rsid w:val="00535FED"/>
    <w:rsid w:val="00540DB6"/>
    <w:rsid w:val="00544810"/>
    <w:rsid w:val="0056276A"/>
    <w:rsid w:val="00564A05"/>
    <w:rsid w:val="005667C8"/>
    <w:rsid w:val="00566FBF"/>
    <w:rsid w:val="00582909"/>
    <w:rsid w:val="00582D37"/>
    <w:rsid w:val="005843CF"/>
    <w:rsid w:val="00593511"/>
    <w:rsid w:val="005A14B3"/>
    <w:rsid w:val="005B355D"/>
    <w:rsid w:val="005B393C"/>
    <w:rsid w:val="005B7C1D"/>
    <w:rsid w:val="005C7B84"/>
    <w:rsid w:val="005D1440"/>
    <w:rsid w:val="005D7B01"/>
    <w:rsid w:val="005E3548"/>
    <w:rsid w:val="005E6AA1"/>
    <w:rsid w:val="005E736A"/>
    <w:rsid w:val="0060570D"/>
    <w:rsid w:val="00612F90"/>
    <w:rsid w:val="00616819"/>
    <w:rsid w:val="00623F7C"/>
    <w:rsid w:val="00627B0A"/>
    <w:rsid w:val="00634BB9"/>
    <w:rsid w:val="0064387E"/>
    <w:rsid w:val="00644553"/>
    <w:rsid w:val="00644E64"/>
    <w:rsid w:val="00650AE1"/>
    <w:rsid w:val="00651B8D"/>
    <w:rsid w:val="0066005A"/>
    <w:rsid w:val="006601D3"/>
    <w:rsid w:val="006639EE"/>
    <w:rsid w:val="006663D1"/>
    <w:rsid w:val="00666E46"/>
    <w:rsid w:val="00676D71"/>
    <w:rsid w:val="00681D5F"/>
    <w:rsid w:val="00685071"/>
    <w:rsid w:val="00691988"/>
    <w:rsid w:val="006A3CDB"/>
    <w:rsid w:val="006A4D8B"/>
    <w:rsid w:val="006A77B7"/>
    <w:rsid w:val="006B324D"/>
    <w:rsid w:val="006B355F"/>
    <w:rsid w:val="006C5FF2"/>
    <w:rsid w:val="006C7016"/>
    <w:rsid w:val="006D5E4F"/>
    <w:rsid w:val="006E4E53"/>
    <w:rsid w:val="006E796E"/>
    <w:rsid w:val="006F005B"/>
    <w:rsid w:val="006F1823"/>
    <w:rsid w:val="006F2518"/>
    <w:rsid w:val="006F2CAF"/>
    <w:rsid w:val="006F37B6"/>
    <w:rsid w:val="006F7F33"/>
    <w:rsid w:val="0071369B"/>
    <w:rsid w:val="00722C6F"/>
    <w:rsid w:val="00731BC0"/>
    <w:rsid w:val="007330EA"/>
    <w:rsid w:val="00735E5B"/>
    <w:rsid w:val="00742506"/>
    <w:rsid w:val="00761799"/>
    <w:rsid w:val="0076740D"/>
    <w:rsid w:val="00774FFF"/>
    <w:rsid w:val="007775CE"/>
    <w:rsid w:val="00777BBF"/>
    <w:rsid w:val="00783FC5"/>
    <w:rsid w:val="007858C2"/>
    <w:rsid w:val="007912CA"/>
    <w:rsid w:val="007A3CBE"/>
    <w:rsid w:val="007B1958"/>
    <w:rsid w:val="007B64BC"/>
    <w:rsid w:val="007B6FF7"/>
    <w:rsid w:val="007B72A6"/>
    <w:rsid w:val="007D2F6F"/>
    <w:rsid w:val="007E2143"/>
    <w:rsid w:val="007E4C96"/>
    <w:rsid w:val="007E4D99"/>
    <w:rsid w:val="007E7BA4"/>
    <w:rsid w:val="00810099"/>
    <w:rsid w:val="00810FF9"/>
    <w:rsid w:val="0081641A"/>
    <w:rsid w:val="00816ADB"/>
    <w:rsid w:val="00817590"/>
    <w:rsid w:val="00822DC1"/>
    <w:rsid w:val="00834EB0"/>
    <w:rsid w:val="00841F82"/>
    <w:rsid w:val="00842E3E"/>
    <w:rsid w:val="00850582"/>
    <w:rsid w:val="008626DD"/>
    <w:rsid w:val="00863A62"/>
    <w:rsid w:val="00871D39"/>
    <w:rsid w:val="00876665"/>
    <w:rsid w:val="0088365B"/>
    <w:rsid w:val="008854CA"/>
    <w:rsid w:val="00887959"/>
    <w:rsid w:val="0089314A"/>
    <w:rsid w:val="008A3337"/>
    <w:rsid w:val="008B3CCE"/>
    <w:rsid w:val="008C35EC"/>
    <w:rsid w:val="008C49F6"/>
    <w:rsid w:val="008D1DCE"/>
    <w:rsid w:val="008D2F99"/>
    <w:rsid w:val="008D4F69"/>
    <w:rsid w:val="008D549D"/>
    <w:rsid w:val="008E48BB"/>
    <w:rsid w:val="008E6778"/>
    <w:rsid w:val="008F7DC7"/>
    <w:rsid w:val="00902A84"/>
    <w:rsid w:val="0090430B"/>
    <w:rsid w:val="00904966"/>
    <w:rsid w:val="00914DF8"/>
    <w:rsid w:val="0091543E"/>
    <w:rsid w:val="0093149E"/>
    <w:rsid w:val="009459BF"/>
    <w:rsid w:val="00945EEE"/>
    <w:rsid w:val="00946BAA"/>
    <w:rsid w:val="009512C0"/>
    <w:rsid w:val="0095495B"/>
    <w:rsid w:val="009626C2"/>
    <w:rsid w:val="009727E2"/>
    <w:rsid w:val="00973ECC"/>
    <w:rsid w:val="00981300"/>
    <w:rsid w:val="00981FD6"/>
    <w:rsid w:val="00986C70"/>
    <w:rsid w:val="00991BC0"/>
    <w:rsid w:val="009A155C"/>
    <w:rsid w:val="009A2FB1"/>
    <w:rsid w:val="009A3176"/>
    <w:rsid w:val="009A3EB6"/>
    <w:rsid w:val="009A5081"/>
    <w:rsid w:val="009B1950"/>
    <w:rsid w:val="009B5AE0"/>
    <w:rsid w:val="009C545E"/>
    <w:rsid w:val="009D1701"/>
    <w:rsid w:val="009D29FB"/>
    <w:rsid w:val="009E0070"/>
    <w:rsid w:val="009E0E52"/>
    <w:rsid w:val="009E2D8E"/>
    <w:rsid w:val="009E5FA7"/>
    <w:rsid w:val="009E7B85"/>
    <w:rsid w:val="009F1970"/>
    <w:rsid w:val="009F26A5"/>
    <w:rsid w:val="009F3409"/>
    <w:rsid w:val="009F5A11"/>
    <w:rsid w:val="00A00B46"/>
    <w:rsid w:val="00A01714"/>
    <w:rsid w:val="00A01FF7"/>
    <w:rsid w:val="00A07F62"/>
    <w:rsid w:val="00A14738"/>
    <w:rsid w:val="00A2303A"/>
    <w:rsid w:val="00A246B5"/>
    <w:rsid w:val="00A34192"/>
    <w:rsid w:val="00A379EB"/>
    <w:rsid w:val="00A418A4"/>
    <w:rsid w:val="00A468B6"/>
    <w:rsid w:val="00A55FD0"/>
    <w:rsid w:val="00A56C80"/>
    <w:rsid w:val="00A64AE3"/>
    <w:rsid w:val="00A70955"/>
    <w:rsid w:val="00A7331A"/>
    <w:rsid w:val="00A842B9"/>
    <w:rsid w:val="00A92D3B"/>
    <w:rsid w:val="00A960B6"/>
    <w:rsid w:val="00AB2D26"/>
    <w:rsid w:val="00AB31FB"/>
    <w:rsid w:val="00AB6BEC"/>
    <w:rsid w:val="00AC1249"/>
    <w:rsid w:val="00AD2B1F"/>
    <w:rsid w:val="00AD347F"/>
    <w:rsid w:val="00AD6B9F"/>
    <w:rsid w:val="00AE6E6D"/>
    <w:rsid w:val="00AF24CF"/>
    <w:rsid w:val="00AF4802"/>
    <w:rsid w:val="00B0026B"/>
    <w:rsid w:val="00B033AE"/>
    <w:rsid w:val="00B037A8"/>
    <w:rsid w:val="00B13ECC"/>
    <w:rsid w:val="00B22792"/>
    <w:rsid w:val="00B24316"/>
    <w:rsid w:val="00B25A04"/>
    <w:rsid w:val="00B31DD0"/>
    <w:rsid w:val="00B37E2A"/>
    <w:rsid w:val="00B43B14"/>
    <w:rsid w:val="00B56E23"/>
    <w:rsid w:val="00B60540"/>
    <w:rsid w:val="00B617D0"/>
    <w:rsid w:val="00B62E9E"/>
    <w:rsid w:val="00B66373"/>
    <w:rsid w:val="00B70522"/>
    <w:rsid w:val="00B7103F"/>
    <w:rsid w:val="00B738B3"/>
    <w:rsid w:val="00B743F0"/>
    <w:rsid w:val="00B81843"/>
    <w:rsid w:val="00B822E7"/>
    <w:rsid w:val="00B82355"/>
    <w:rsid w:val="00B87E39"/>
    <w:rsid w:val="00B93D60"/>
    <w:rsid w:val="00BA17DE"/>
    <w:rsid w:val="00BA2A41"/>
    <w:rsid w:val="00BA377F"/>
    <w:rsid w:val="00BA5C5F"/>
    <w:rsid w:val="00BB1AD8"/>
    <w:rsid w:val="00BB67F0"/>
    <w:rsid w:val="00BC4F60"/>
    <w:rsid w:val="00BC697D"/>
    <w:rsid w:val="00BD1658"/>
    <w:rsid w:val="00BD79DC"/>
    <w:rsid w:val="00BE445E"/>
    <w:rsid w:val="00BE68E2"/>
    <w:rsid w:val="00BF16DF"/>
    <w:rsid w:val="00C141EE"/>
    <w:rsid w:val="00C167D9"/>
    <w:rsid w:val="00C17885"/>
    <w:rsid w:val="00C24780"/>
    <w:rsid w:val="00C33D68"/>
    <w:rsid w:val="00C34961"/>
    <w:rsid w:val="00C50227"/>
    <w:rsid w:val="00C51420"/>
    <w:rsid w:val="00C53961"/>
    <w:rsid w:val="00C71491"/>
    <w:rsid w:val="00C71D22"/>
    <w:rsid w:val="00C72738"/>
    <w:rsid w:val="00C7366E"/>
    <w:rsid w:val="00C7669E"/>
    <w:rsid w:val="00C82024"/>
    <w:rsid w:val="00C865C1"/>
    <w:rsid w:val="00C9000D"/>
    <w:rsid w:val="00C92027"/>
    <w:rsid w:val="00C93178"/>
    <w:rsid w:val="00C93EE4"/>
    <w:rsid w:val="00C94370"/>
    <w:rsid w:val="00C95392"/>
    <w:rsid w:val="00CA03F0"/>
    <w:rsid w:val="00CA341A"/>
    <w:rsid w:val="00CB47FA"/>
    <w:rsid w:val="00CB66F9"/>
    <w:rsid w:val="00CD0C7F"/>
    <w:rsid w:val="00CD1B44"/>
    <w:rsid w:val="00CD30F2"/>
    <w:rsid w:val="00CE45D8"/>
    <w:rsid w:val="00CE5C9A"/>
    <w:rsid w:val="00CF25ED"/>
    <w:rsid w:val="00CF3E75"/>
    <w:rsid w:val="00D01AEF"/>
    <w:rsid w:val="00D024EE"/>
    <w:rsid w:val="00D041CB"/>
    <w:rsid w:val="00D10245"/>
    <w:rsid w:val="00D137BF"/>
    <w:rsid w:val="00D15B32"/>
    <w:rsid w:val="00D22203"/>
    <w:rsid w:val="00D24ECE"/>
    <w:rsid w:val="00D35D42"/>
    <w:rsid w:val="00D41495"/>
    <w:rsid w:val="00D5194E"/>
    <w:rsid w:val="00D52793"/>
    <w:rsid w:val="00D541CB"/>
    <w:rsid w:val="00D62D1F"/>
    <w:rsid w:val="00D652A6"/>
    <w:rsid w:val="00D80F92"/>
    <w:rsid w:val="00D823DC"/>
    <w:rsid w:val="00D842FE"/>
    <w:rsid w:val="00D876DB"/>
    <w:rsid w:val="00D913CC"/>
    <w:rsid w:val="00D95C54"/>
    <w:rsid w:val="00DA5CE2"/>
    <w:rsid w:val="00DB278C"/>
    <w:rsid w:val="00DB4285"/>
    <w:rsid w:val="00DC1D48"/>
    <w:rsid w:val="00DC22DA"/>
    <w:rsid w:val="00DC4E76"/>
    <w:rsid w:val="00DC599B"/>
    <w:rsid w:val="00DC6880"/>
    <w:rsid w:val="00DD2FDF"/>
    <w:rsid w:val="00DD767E"/>
    <w:rsid w:val="00DD779F"/>
    <w:rsid w:val="00DE2005"/>
    <w:rsid w:val="00DE47CE"/>
    <w:rsid w:val="00DE5637"/>
    <w:rsid w:val="00DE5839"/>
    <w:rsid w:val="00DF12C7"/>
    <w:rsid w:val="00E03C25"/>
    <w:rsid w:val="00E05AE8"/>
    <w:rsid w:val="00E14EE7"/>
    <w:rsid w:val="00E219A8"/>
    <w:rsid w:val="00E23DF7"/>
    <w:rsid w:val="00E24415"/>
    <w:rsid w:val="00E26C66"/>
    <w:rsid w:val="00E36BBA"/>
    <w:rsid w:val="00E418E5"/>
    <w:rsid w:val="00E51DDF"/>
    <w:rsid w:val="00E61D8F"/>
    <w:rsid w:val="00E66EC6"/>
    <w:rsid w:val="00E75489"/>
    <w:rsid w:val="00E90A58"/>
    <w:rsid w:val="00E90F47"/>
    <w:rsid w:val="00E92159"/>
    <w:rsid w:val="00E92637"/>
    <w:rsid w:val="00EB4960"/>
    <w:rsid w:val="00ED5F91"/>
    <w:rsid w:val="00EE1795"/>
    <w:rsid w:val="00EE7F67"/>
    <w:rsid w:val="00EF2908"/>
    <w:rsid w:val="00EF2CFE"/>
    <w:rsid w:val="00EF3DE1"/>
    <w:rsid w:val="00EF490C"/>
    <w:rsid w:val="00EF7A3A"/>
    <w:rsid w:val="00F0392D"/>
    <w:rsid w:val="00F06A73"/>
    <w:rsid w:val="00F11DDD"/>
    <w:rsid w:val="00F1513A"/>
    <w:rsid w:val="00F24721"/>
    <w:rsid w:val="00F25A3B"/>
    <w:rsid w:val="00F2673F"/>
    <w:rsid w:val="00F30B3A"/>
    <w:rsid w:val="00F32F63"/>
    <w:rsid w:val="00F35C47"/>
    <w:rsid w:val="00F42CCD"/>
    <w:rsid w:val="00F43EAA"/>
    <w:rsid w:val="00F47C2C"/>
    <w:rsid w:val="00F64447"/>
    <w:rsid w:val="00F653AB"/>
    <w:rsid w:val="00F65D84"/>
    <w:rsid w:val="00F67A36"/>
    <w:rsid w:val="00F7251F"/>
    <w:rsid w:val="00F74385"/>
    <w:rsid w:val="00F74820"/>
    <w:rsid w:val="00F7580B"/>
    <w:rsid w:val="00F819D6"/>
    <w:rsid w:val="00F8541B"/>
    <w:rsid w:val="00F93EF0"/>
    <w:rsid w:val="00F9419F"/>
    <w:rsid w:val="00F96711"/>
    <w:rsid w:val="00FC505A"/>
    <w:rsid w:val="00FD21C4"/>
    <w:rsid w:val="00FD276F"/>
    <w:rsid w:val="00FD59F0"/>
    <w:rsid w:val="00FE1CC2"/>
    <w:rsid w:val="00FE2EA3"/>
    <w:rsid w:val="00FE6203"/>
    <w:rsid w:val="00FF06B7"/>
    <w:rsid w:val="00FF44D9"/>
    <w:rsid w:val="00FF50AF"/>
    <w:rsid w:val="00FF6146"/>
    <w:rsid w:val="03AE47A3"/>
    <w:rsid w:val="1A970602"/>
    <w:rsid w:val="25A2704B"/>
    <w:rsid w:val="26EC1304"/>
    <w:rsid w:val="277F2377"/>
    <w:rsid w:val="2E3C49EF"/>
    <w:rsid w:val="33FC0B98"/>
    <w:rsid w:val="34FFFAC3"/>
    <w:rsid w:val="3DA02AC0"/>
    <w:rsid w:val="3DBE49D0"/>
    <w:rsid w:val="3DFF27A1"/>
    <w:rsid w:val="3E9D17B4"/>
    <w:rsid w:val="3FD75409"/>
    <w:rsid w:val="49E8450A"/>
    <w:rsid w:val="4FCF1100"/>
    <w:rsid w:val="59487733"/>
    <w:rsid w:val="5E20206C"/>
    <w:rsid w:val="5FDF80F2"/>
    <w:rsid w:val="64AC5DA8"/>
    <w:rsid w:val="67FFEBDA"/>
    <w:rsid w:val="69F973F6"/>
    <w:rsid w:val="6F55A848"/>
    <w:rsid w:val="6F7FAC09"/>
    <w:rsid w:val="6FCFB075"/>
    <w:rsid w:val="73EF1F7E"/>
    <w:rsid w:val="7BDDB987"/>
    <w:rsid w:val="7CD7F998"/>
    <w:rsid w:val="7E7CFD69"/>
    <w:rsid w:val="7F9FF7B7"/>
    <w:rsid w:val="7FBFCEF9"/>
    <w:rsid w:val="D6E6B889"/>
    <w:rsid w:val="DFC7E04A"/>
    <w:rsid w:val="DFD535EA"/>
    <w:rsid w:val="F6DF25B0"/>
    <w:rsid w:val="F7DFCED7"/>
    <w:rsid w:val="FC6731C9"/>
    <w:rsid w:val="FDADFA91"/>
    <w:rsid w:val="FFCFE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8"/>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7"/>
    <w:basedOn w:val="1"/>
    <w:next w:val="1"/>
    <w:link w:val="31"/>
    <w:semiHidden/>
    <w:unhideWhenUsed/>
    <w:qFormat/>
    <w:uiPriority w:val="9"/>
    <w:pPr>
      <w:keepNext/>
      <w:keepLines/>
      <w:spacing w:before="240" w:after="64" w:line="320" w:lineRule="auto"/>
      <w:outlineLvl w:val="6"/>
    </w:pPr>
    <w:rPr>
      <w:b/>
      <w:bCs/>
      <w:sz w:val="24"/>
      <w:szCs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6"/>
    <w:qFormat/>
    <w:uiPriority w:val="0"/>
    <w:pPr>
      <w:jc w:val="left"/>
    </w:pPr>
  </w:style>
  <w:style w:type="paragraph" w:styleId="6">
    <w:name w:val="Balloon Text"/>
    <w:basedOn w:val="1"/>
    <w:link w:val="23"/>
    <w:qFormat/>
    <w:uiPriority w:val="0"/>
    <w:rPr>
      <w:sz w:val="18"/>
      <w:szCs w:val="18"/>
    </w:rPr>
  </w:style>
  <w:style w:type="paragraph" w:styleId="7">
    <w:name w:val="footer"/>
    <w:basedOn w:val="1"/>
    <w:link w:val="1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22"/>
    <w:qFormat/>
    <w:uiPriority w:val="0"/>
    <w:pPr>
      <w:tabs>
        <w:tab w:val="center" w:pos="4153"/>
        <w:tab w:val="right" w:pos="8306"/>
      </w:tabs>
      <w:snapToGrid w:val="0"/>
      <w:jc w:val="center"/>
    </w:pPr>
    <w:rPr>
      <w:sz w:val="18"/>
      <w:szCs w:val="18"/>
    </w:rPr>
  </w:style>
  <w:style w:type="paragraph" w:styleId="9">
    <w:name w:val="toc 1"/>
    <w:basedOn w:val="1"/>
    <w:next w:val="1"/>
    <w:unhideWhenUsed/>
    <w:qFormat/>
    <w:uiPriority w:val="39"/>
    <w:pPr>
      <w:tabs>
        <w:tab w:val="right" w:leader="dot" w:pos="8296"/>
      </w:tabs>
      <w:spacing w:line="360" w:lineRule="auto"/>
    </w:pPr>
    <w:rPr>
      <w:rFonts w:eastAsia="黑体"/>
      <w:b/>
      <w:szCs w:val="28"/>
    </w:rPr>
  </w:style>
  <w:style w:type="paragraph" w:styleId="10">
    <w:name w:val="toc 2"/>
    <w:basedOn w:val="1"/>
    <w:next w:val="1"/>
    <w:unhideWhenUsed/>
    <w:qFormat/>
    <w:uiPriority w:val="39"/>
    <w:pPr>
      <w:tabs>
        <w:tab w:val="right" w:leader="dot" w:pos="8302"/>
      </w:tabs>
      <w:spacing w:line="360" w:lineRule="auto"/>
      <w:ind w:left="420" w:leftChars="200"/>
    </w:pPr>
    <w:rPr>
      <w:rFonts w:ascii="黑体" w:hAnsi="黑体" w:eastAsia="黑体"/>
      <w:b/>
      <w:sz w:val="24"/>
      <w:szCs w:val="24"/>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5"/>
    <w:next w:val="5"/>
    <w:link w:val="27"/>
    <w:qFormat/>
    <w:uiPriority w:val="0"/>
    <w:rPr>
      <w:b/>
      <w:bCs/>
    </w:rPr>
  </w:style>
  <w:style w:type="table" w:styleId="14">
    <w:name w:val="Table Grid"/>
    <w:basedOn w:val="13"/>
    <w:qFormat/>
    <w:uiPriority w:val="3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Hyperlink"/>
    <w:basedOn w:val="15"/>
    <w:unhideWhenUsed/>
    <w:qFormat/>
    <w:uiPriority w:val="99"/>
    <w:rPr>
      <w:color w:val="0563C1" w:themeColor="hyperlink"/>
      <w:u w:val="single"/>
      <w14:textFill>
        <w14:solidFill>
          <w14:schemeClr w14:val="hlink"/>
        </w14:solidFill>
      </w14:textFill>
    </w:rPr>
  </w:style>
  <w:style w:type="character" w:styleId="18">
    <w:name w:val="annotation reference"/>
    <w:basedOn w:val="15"/>
    <w:qFormat/>
    <w:uiPriority w:val="0"/>
    <w:rPr>
      <w:sz w:val="21"/>
      <w:szCs w:val="21"/>
    </w:rPr>
  </w:style>
  <w:style w:type="character" w:customStyle="1" w:styleId="19">
    <w:name w:val="页脚 字符"/>
    <w:basedOn w:val="15"/>
    <w:link w:val="7"/>
    <w:qFormat/>
    <w:uiPriority w:val="99"/>
    <w:rPr>
      <w:sz w:val="18"/>
      <w:szCs w:val="18"/>
    </w:rPr>
  </w:style>
  <w:style w:type="character" w:customStyle="1" w:styleId="20">
    <w:name w:val="标题 1 字符"/>
    <w:basedOn w:val="15"/>
    <w:link w:val="2"/>
    <w:qFormat/>
    <w:uiPriority w:val="9"/>
    <w:rPr>
      <w:rFonts w:ascii="Times New Roman" w:hAnsi="Times New Roman" w:eastAsia="宋体" w:cs="Times New Roman"/>
      <w:b/>
      <w:bCs/>
      <w:kern w:val="44"/>
      <w:sz w:val="44"/>
      <w:szCs w:val="44"/>
    </w:rPr>
  </w:style>
  <w:style w:type="character" w:customStyle="1" w:styleId="21">
    <w:name w:val="标题 2 字符"/>
    <w:basedOn w:val="15"/>
    <w:link w:val="3"/>
    <w:qFormat/>
    <w:uiPriority w:val="0"/>
    <w:rPr>
      <w:rFonts w:asciiTheme="majorHAnsi" w:hAnsiTheme="majorHAnsi" w:eastAsiaTheme="majorEastAsia" w:cstheme="majorBidi"/>
      <w:b/>
      <w:bCs/>
      <w:sz w:val="32"/>
      <w:szCs w:val="32"/>
    </w:rPr>
  </w:style>
  <w:style w:type="character" w:customStyle="1" w:styleId="22">
    <w:name w:val="页眉 字符"/>
    <w:basedOn w:val="15"/>
    <w:link w:val="8"/>
    <w:qFormat/>
    <w:uiPriority w:val="0"/>
    <w:rPr>
      <w:rFonts w:ascii="Times New Roman" w:hAnsi="Times New Roman" w:eastAsia="宋体" w:cs="Times New Roman"/>
      <w:sz w:val="18"/>
      <w:szCs w:val="18"/>
    </w:rPr>
  </w:style>
  <w:style w:type="character" w:customStyle="1" w:styleId="23">
    <w:name w:val="批注框文本 字符"/>
    <w:basedOn w:val="15"/>
    <w:link w:val="6"/>
    <w:qFormat/>
    <w:uiPriority w:val="0"/>
    <w:rPr>
      <w:rFonts w:ascii="Times New Roman" w:hAnsi="Times New Roman" w:eastAsia="宋体" w:cs="Times New Roman"/>
      <w:sz w:val="18"/>
      <w:szCs w:val="18"/>
    </w:rPr>
  </w:style>
  <w:style w:type="paragraph" w:styleId="24">
    <w:name w:val="List Paragraph"/>
    <w:basedOn w:val="1"/>
    <w:qFormat/>
    <w:uiPriority w:val="99"/>
    <w:pPr>
      <w:ind w:firstLine="420" w:firstLineChars="200"/>
    </w:pPr>
  </w:style>
  <w:style w:type="character" w:customStyle="1" w:styleId="25">
    <w:name w:val="未处理的提及1"/>
    <w:basedOn w:val="15"/>
    <w:semiHidden/>
    <w:unhideWhenUsed/>
    <w:qFormat/>
    <w:uiPriority w:val="99"/>
    <w:rPr>
      <w:color w:val="605E5C"/>
      <w:shd w:val="clear" w:color="auto" w:fill="E1DFDD"/>
    </w:rPr>
  </w:style>
  <w:style w:type="character" w:customStyle="1" w:styleId="26">
    <w:name w:val="批注文字 字符"/>
    <w:basedOn w:val="15"/>
    <w:link w:val="5"/>
    <w:qFormat/>
    <w:uiPriority w:val="0"/>
    <w:rPr>
      <w:rFonts w:ascii="Times New Roman" w:hAnsi="Times New Roman" w:eastAsia="宋体" w:cs="Times New Roman"/>
    </w:rPr>
  </w:style>
  <w:style w:type="character" w:customStyle="1" w:styleId="27">
    <w:name w:val="批注主题 字符"/>
    <w:basedOn w:val="26"/>
    <w:link w:val="12"/>
    <w:qFormat/>
    <w:uiPriority w:val="0"/>
    <w:rPr>
      <w:rFonts w:ascii="Times New Roman" w:hAnsi="Times New Roman" w:eastAsia="宋体" w:cs="Times New Roman"/>
      <w:b/>
      <w:bCs/>
    </w:rPr>
  </w:style>
  <w:style w:type="paragraph" w:customStyle="1" w:styleId="28">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29">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0">
    <w:name w:val="修订2"/>
    <w:hidden/>
    <w:unhideWhenUsed/>
    <w:qFormat/>
    <w:uiPriority w:val="99"/>
    <w:rPr>
      <w:rFonts w:ascii="Times New Roman" w:hAnsi="Times New Roman" w:eastAsia="仿宋" w:cs="Times New Roman"/>
      <w:kern w:val="2"/>
      <w:sz w:val="28"/>
      <w:szCs w:val="22"/>
      <w:lang w:val="en-US" w:eastAsia="zh-CN" w:bidi="ar-SA"/>
    </w:rPr>
  </w:style>
  <w:style w:type="character" w:customStyle="1" w:styleId="31">
    <w:name w:val="标题 7 字符"/>
    <w:basedOn w:val="15"/>
    <w:link w:val="4"/>
    <w:semiHidden/>
    <w:qFormat/>
    <w:uiPriority w:val="9"/>
    <w:rPr>
      <w:rFonts w:ascii="Times New Roman" w:hAnsi="Times New Roman" w:eastAsia="仿宋" w:cs="Times New Roman"/>
      <w:b/>
      <w:bCs/>
      <w:kern w:val="2"/>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0F0C08-B2A2-4031-9809-30E937AE3491}">
  <ds:schemaRefs/>
</ds:datastoreItem>
</file>

<file path=docProps/app.xml><?xml version="1.0" encoding="utf-8"?>
<Properties xmlns="http://schemas.openxmlformats.org/officeDocument/2006/extended-properties" xmlns:vt="http://schemas.openxmlformats.org/officeDocument/2006/docPropsVTypes">
  <Template>Normal.dotm</Template>
  <Pages>8</Pages>
  <Words>420</Words>
  <Characters>2397</Characters>
  <Lines>19</Lines>
  <Paragraphs>5</Paragraphs>
  <TotalTime>1</TotalTime>
  <ScaleCrop>false</ScaleCrop>
  <LinksUpToDate>false</LinksUpToDate>
  <CharactersWithSpaces>2812</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2025-10-21T15:00:00Z</dcterms:created>
  <dc:creator>陆文婷</dc:creator>
  <cp:lastModifiedBy>uos</cp:lastModifiedBy>
  <cp:lastPrinted>2025-10-27T18:40:00Z</cp:lastPrinted>
  <dcterms:modified xsi:type="dcterms:W3CDTF">2025-10-27T17:55:03Z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eyJoZGlkIjoiNDYxMzIwOTdhM2MwOWI1OWQ0ZGMyZmMzYTE3Y2Y4OTUiLCJ1c2VySWQiOiI1ODIyNTkyNzYifQ==</vt:lpwstr>
  </property>
  <property fmtid="{D5CDD505-2E9C-101B-9397-08002B2CF9AE}" pid="3" name="KSOProductBuildVer">
    <vt:lpwstr>2052-12.8.2.1119</vt:lpwstr>
  </property>
  <property fmtid="{D5CDD505-2E9C-101B-9397-08002B2CF9AE}" pid="4" name="ICV">
    <vt:lpwstr>B48491784294497486CF6F12B59FE61D_13</vt:lpwstr>
  </property>
</Properties>
</file>